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8BCF" w14:textId="77777777" w:rsidR="005B3181" w:rsidRDefault="009F3C23" w:rsidP="005B3181">
      <w:pPr>
        <w:keepNext/>
        <w:spacing w:after="0" w:line="240" w:lineRule="auto"/>
        <w:jc w:val="center"/>
        <w:outlineLvl w:val="0"/>
        <w:rPr>
          <w:rFonts w:ascii="Century Gothic" w:hAnsi="Century Gothic" w:cs="Tahoma"/>
          <w:b/>
          <w:color w:val="00B050"/>
        </w:rPr>
      </w:pPr>
      <w:r>
        <w:rPr>
          <w:noProof/>
          <w:lang w:val="en-US"/>
        </w:rPr>
        <w:drawing>
          <wp:anchor distT="0" distB="0" distL="114300" distR="114300" simplePos="0" relativeHeight="251659264" behindDoc="0" locked="0" layoutInCell="1" allowOverlap="1" wp14:anchorId="273092AD" wp14:editId="7400921E">
            <wp:simplePos x="0" y="0"/>
            <wp:positionH relativeFrom="column">
              <wp:posOffset>2443422</wp:posOffset>
            </wp:positionH>
            <wp:positionV relativeFrom="paragraph">
              <wp:posOffset>173</wp:posOffset>
            </wp:positionV>
            <wp:extent cx="1371600" cy="810895"/>
            <wp:effectExtent l="19050" t="0" r="0" b="0"/>
            <wp:wrapSquare wrapText="bothSides"/>
            <wp:docPr id="5" name="Picture 5" descr="Description: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oat of Arms"/>
                    <pic:cNvPicPr>
                      <a:picLocks noChangeAspect="1" noChangeArrowheads="1"/>
                    </pic:cNvPicPr>
                  </pic:nvPicPr>
                  <pic:blipFill>
                    <a:blip r:embed="rId8"/>
                    <a:srcRect/>
                    <a:stretch>
                      <a:fillRect/>
                    </a:stretch>
                  </pic:blipFill>
                  <pic:spPr bwMode="auto">
                    <a:xfrm>
                      <a:off x="0" y="0"/>
                      <a:ext cx="1371600" cy="810895"/>
                    </a:xfrm>
                    <a:prstGeom prst="rect">
                      <a:avLst/>
                    </a:prstGeom>
                    <a:noFill/>
                    <a:ln w="9525">
                      <a:noFill/>
                      <a:miter lim="800000"/>
                      <a:headEnd/>
                      <a:tailEnd/>
                    </a:ln>
                  </pic:spPr>
                </pic:pic>
              </a:graphicData>
            </a:graphic>
          </wp:anchor>
        </w:drawing>
      </w:r>
    </w:p>
    <w:p w14:paraId="0AFF55F3" w14:textId="77777777" w:rsidR="009F3C23" w:rsidRDefault="009F3C23" w:rsidP="005B3181">
      <w:pPr>
        <w:keepNext/>
        <w:spacing w:after="0" w:line="240" w:lineRule="auto"/>
        <w:jc w:val="center"/>
        <w:outlineLvl w:val="0"/>
        <w:rPr>
          <w:rFonts w:ascii="Century Gothic" w:hAnsi="Century Gothic" w:cs="Tahoma"/>
          <w:b/>
          <w:color w:val="00B050"/>
        </w:rPr>
      </w:pPr>
    </w:p>
    <w:p w14:paraId="00910547" w14:textId="77777777" w:rsidR="009F3C23" w:rsidRDefault="009F3C23" w:rsidP="005B3181">
      <w:pPr>
        <w:keepNext/>
        <w:spacing w:after="0" w:line="240" w:lineRule="auto"/>
        <w:jc w:val="center"/>
        <w:outlineLvl w:val="0"/>
        <w:rPr>
          <w:rFonts w:ascii="Century Gothic" w:hAnsi="Century Gothic" w:cs="Tahoma"/>
          <w:b/>
          <w:color w:val="00B050"/>
        </w:rPr>
      </w:pPr>
    </w:p>
    <w:p w14:paraId="56841888" w14:textId="77777777" w:rsidR="009F3C23" w:rsidRDefault="009F3C23" w:rsidP="005B3181">
      <w:pPr>
        <w:keepNext/>
        <w:spacing w:after="0" w:line="240" w:lineRule="auto"/>
        <w:jc w:val="center"/>
        <w:outlineLvl w:val="0"/>
        <w:rPr>
          <w:rFonts w:ascii="Century Gothic" w:hAnsi="Century Gothic" w:cs="Tahoma"/>
          <w:b/>
          <w:color w:val="00B050"/>
        </w:rPr>
      </w:pPr>
    </w:p>
    <w:p w14:paraId="24AE0BE6" w14:textId="77777777" w:rsidR="009F3C23" w:rsidRDefault="009F3C23" w:rsidP="005B3181">
      <w:pPr>
        <w:keepNext/>
        <w:spacing w:after="0" w:line="240" w:lineRule="auto"/>
        <w:jc w:val="center"/>
        <w:outlineLvl w:val="0"/>
        <w:rPr>
          <w:rFonts w:ascii="Century Gothic" w:hAnsi="Century Gothic" w:cs="Tahoma"/>
          <w:b/>
          <w:color w:val="00B050"/>
        </w:rPr>
      </w:pPr>
    </w:p>
    <w:p w14:paraId="440B4A79" w14:textId="77777777" w:rsidR="005B3181" w:rsidRPr="00B8615C" w:rsidRDefault="005B3181" w:rsidP="005B3181">
      <w:pPr>
        <w:keepNext/>
        <w:spacing w:after="0" w:line="240" w:lineRule="auto"/>
        <w:jc w:val="center"/>
        <w:outlineLvl w:val="0"/>
        <w:rPr>
          <w:rFonts w:ascii="Century Gothic" w:hAnsi="Century Gothic" w:cs="Tahoma"/>
          <w:b/>
          <w:color w:val="00B050"/>
        </w:rPr>
      </w:pPr>
      <w:r w:rsidRPr="00B8615C">
        <w:rPr>
          <w:rFonts w:ascii="Century Gothic" w:hAnsi="Century Gothic" w:cs="Tahoma"/>
          <w:b/>
          <w:color w:val="00B050"/>
        </w:rPr>
        <w:t>REPUBLIC OF ZAMBIA</w:t>
      </w:r>
    </w:p>
    <w:p w14:paraId="0034EE96" w14:textId="77777777" w:rsidR="005B3181" w:rsidRPr="006E3DE5" w:rsidRDefault="005B3181" w:rsidP="005B3181">
      <w:pPr>
        <w:keepNext/>
        <w:spacing w:after="0" w:line="240" w:lineRule="auto"/>
        <w:jc w:val="center"/>
        <w:outlineLvl w:val="1"/>
        <w:rPr>
          <w:rFonts w:ascii="Century Gothic" w:hAnsi="Century Gothic" w:cs="Tahoma"/>
          <w:b/>
          <w:bCs/>
          <w:color w:val="00B050"/>
          <w:sz w:val="36"/>
          <w:szCs w:val="36"/>
        </w:rPr>
      </w:pPr>
      <w:r w:rsidRPr="006E3DE5">
        <w:rPr>
          <w:rFonts w:ascii="Century Gothic" w:hAnsi="Century Gothic" w:cs="Tahoma"/>
          <w:b/>
          <w:bCs/>
          <w:color w:val="00B050"/>
          <w:sz w:val="36"/>
          <w:szCs w:val="36"/>
        </w:rPr>
        <w:t xml:space="preserve">MINISTRY OF </w:t>
      </w:r>
      <w:r>
        <w:rPr>
          <w:rFonts w:ascii="Century Gothic" w:hAnsi="Century Gothic" w:cs="Tahoma"/>
          <w:b/>
          <w:bCs/>
          <w:color w:val="00B050"/>
          <w:sz w:val="36"/>
          <w:szCs w:val="36"/>
        </w:rPr>
        <w:t xml:space="preserve">FINANCE AND NATIONAL PLANNING </w:t>
      </w:r>
    </w:p>
    <w:p w14:paraId="09B18FD1" w14:textId="77777777" w:rsidR="005B3181" w:rsidRPr="000D1A46" w:rsidRDefault="005B3181" w:rsidP="005B3181">
      <w:pPr>
        <w:spacing w:after="0" w:line="240" w:lineRule="auto"/>
        <w:jc w:val="center"/>
        <w:rPr>
          <w:rFonts w:ascii="Century Gothic" w:hAnsi="Century Gothic"/>
          <w:color w:val="00B050"/>
        </w:rPr>
      </w:pPr>
      <w:r>
        <w:rPr>
          <w:rFonts w:ascii="Century Gothic" w:hAnsi="Century Gothic"/>
          <w:color w:val="00B050"/>
        </w:rPr>
        <w:t>NATIONAL AUTHORISING OFFICE OF THE EUROPEAN DEVELOPMENT FUND</w:t>
      </w:r>
    </w:p>
    <w:p w14:paraId="7BE6F58D" w14:textId="77777777" w:rsidR="005B3181" w:rsidRPr="00876467" w:rsidRDefault="005B3181" w:rsidP="003F2D41">
      <w:pPr>
        <w:shd w:val="clear" w:color="auto" w:fill="FFFFFF" w:themeFill="background1"/>
        <w:spacing w:after="0" w:line="240" w:lineRule="auto"/>
        <w:jc w:val="both"/>
        <w:rPr>
          <w:rFonts w:ascii="Aptos Display" w:hAnsi="Aptos Display" w:cstheme="minorHAnsi"/>
          <w:b/>
          <w:bCs/>
          <w:color w:val="000000" w:themeColor="text1"/>
        </w:rPr>
      </w:pPr>
    </w:p>
    <w:p w14:paraId="66672C61" w14:textId="77777777" w:rsidR="009E78B1" w:rsidRPr="00876467" w:rsidRDefault="009E78B1" w:rsidP="003F2D41">
      <w:pPr>
        <w:shd w:val="clear" w:color="auto" w:fill="FFFFFF"/>
        <w:spacing w:after="0" w:line="240" w:lineRule="auto"/>
        <w:jc w:val="both"/>
        <w:rPr>
          <w:rFonts w:ascii="Aptos Display" w:eastAsia="Times New Roman" w:hAnsi="Aptos Display" w:cstheme="minorHAnsi"/>
          <w:b/>
          <w:bCs/>
          <w:color w:val="333333"/>
        </w:rPr>
      </w:pPr>
      <w:r w:rsidRPr="00876467">
        <w:rPr>
          <w:rFonts w:ascii="Aptos Display" w:eastAsia="Times New Roman" w:hAnsi="Aptos Display" w:cstheme="minorHAnsi"/>
          <w:b/>
          <w:bCs/>
          <w:color w:val="333333"/>
        </w:rPr>
        <w:t>Request for Expressions of Interest</w:t>
      </w:r>
    </w:p>
    <w:p w14:paraId="1F1E7436" w14:textId="02CEBFF6" w:rsidR="009E78B1" w:rsidRPr="00876467" w:rsidRDefault="00C515FE" w:rsidP="003F2D41">
      <w:pPr>
        <w:spacing w:after="40" w:line="240" w:lineRule="auto"/>
        <w:ind w:left="1440" w:hanging="1440"/>
        <w:jc w:val="both"/>
        <w:rPr>
          <w:rFonts w:ascii="Aptos Display" w:eastAsia="Tahoma" w:hAnsi="Aptos Display" w:cstheme="minorHAnsi"/>
          <w:b/>
        </w:rPr>
      </w:pPr>
      <w:r w:rsidRPr="00876467">
        <w:rPr>
          <w:rFonts w:ascii="Aptos Display" w:eastAsia="Tahoma" w:hAnsi="Aptos Display" w:cstheme="minorHAnsi"/>
          <w:b/>
        </w:rPr>
        <w:t xml:space="preserve">Position: </w:t>
      </w:r>
      <w:r w:rsidRPr="00876467">
        <w:rPr>
          <w:rFonts w:ascii="Aptos Display" w:eastAsia="Tahoma" w:hAnsi="Aptos Display" w:cstheme="minorHAnsi"/>
          <w:b/>
        </w:rPr>
        <w:tab/>
      </w:r>
      <w:r w:rsidR="003D4F72" w:rsidRPr="00876467">
        <w:rPr>
          <w:rFonts w:ascii="Aptos Display" w:eastAsia="Tahoma" w:hAnsi="Aptos Display" w:cstheme="minorHAnsi"/>
          <w:b/>
        </w:rPr>
        <w:t xml:space="preserve">Consultancy Services for Conducting of Feasibility Studies, Preparation of Detailed </w:t>
      </w:r>
      <w:r w:rsidR="00BB4F47" w:rsidRPr="00876467">
        <w:rPr>
          <w:rFonts w:ascii="Aptos Display" w:eastAsia="Tahoma" w:hAnsi="Aptos Display" w:cstheme="minorHAnsi"/>
          <w:b/>
        </w:rPr>
        <w:t>Designs, Environmental</w:t>
      </w:r>
      <w:r w:rsidR="005D0100" w:rsidRPr="00876467">
        <w:rPr>
          <w:rFonts w:ascii="Aptos Display" w:eastAsia="Tahoma" w:hAnsi="Aptos Display" w:cstheme="minorHAnsi"/>
          <w:b/>
          <w:lang w:val="en-US"/>
        </w:rPr>
        <w:t xml:space="preserve"> and Social Instruments</w:t>
      </w:r>
      <w:r w:rsidR="0063254D" w:rsidRPr="00876467">
        <w:rPr>
          <w:rFonts w:ascii="Aptos Display" w:eastAsia="Tahoma" w:hAnsi="Aptos Display" w:cstheme="minorHAnsi"/>
          <w:b/>
        </w:rPr>
        <w:t xml:space="preserve">, </w:t>
      </w:r>
      <w:r w:rsidR="003D4F72" w:rsidRPr="00876467">
        <w:rPr>
          <w:rFonts w:ascii="Aptos Display" w:eastAsia="Tahoma" w:hAnsi="Aptos Display" w:cstheme="minorHAnsi"/>
          <w:b/>
        </w:rPr>
        <w:t xml:space="preserve">Bidding </w:t>
      </w:r>
      <w:r w:rsidR="0063254D" w:rsidRPr="00876467">
        <w:rPr>
          <w:rFonts w:ascii="Aptos Display" w:eastAsia="Tahoma" w:hAnsi="Aptos Display" w:cstheme="minorHAnsi"/>
          <w:b/>
        </w:rPr>
        <w:t xml:space="preserve">and Tender </w:t>
      </w:r>
      <w:r w:rsidR="003D4F72" w:rsidRPr="00876467">
        <w:rPr>
          <w:rFonts w:ascii="Aptos Display" w:eastAsia="Tahoma" w:hAnsi="Aptos Display" w:cstheme="minorHAnsi"/>
          <w:b/>
        </w:rPr>
        <w:t>Documents for the proposed</w:t>
      </w:r>
      <w:r w:rsidR="001A6ADD" w:rsidRPr="00876467">
        <w:rPr>
          <w:rFonts w:ascii="Aptos Display" w:eastAsia="Tahoma" w:hAnsi="Aptos Display" w:cstheme="minorHAnsi"/>
          <w:b/>
        </w:rPr>
        <w:t xml:space="preserve"> </w:t>
      </w:r>
      <w:r w:rsidR="001A6ADD" w:rsidRPr="00876467">
        <w:rPr>
          <w:rFonts w:ascii="Aptos Display" w:eastAsia="Aptos" w:hAnsi="Aptos Display" w:cstheme="minorHAnsi"/>
          <w:b/>
          <w:color w:val="000000"/>
          <w:kern w:val="2"/>
          <w14:ligatures w14:val="standardContextual"/>
        </w:rPr>
        <w:t>Irrigated and Sustainable Agriculture for Transformation</w:t>
      </w:r>
      <w:r w:rsidR="003D4F72" w:rsidRPr="00876467">
        <w:rPr>
          <w:rFonts w:ascii="Aptos Display" w:eastAsia="Tahoma" w:hAnsi="Aptos Display" w:cstheme="minorHAnsi"/>
          <w:b/>
        </w:rPr>
        <w:t xml:space="preserve"> </w:t>
      </w:r>
      <w:r w:rsidR="001A6ADD" w:rsidRPr="00876467">
        <w:rPr>
          <w:rFonts w:ascii="Aptos Display" w:eastAsia="Tahoma" w:hAnsi="Aptos Display" w:cstheme="minorHAnsi"/>
          <w:b/>
        </w:rPr>
        <w:t>(</w:t>
      </w:r>
      <w:r w:rsidR="003D4F72" w:rsidRPr="00876467">
        <w:rPr>
          <w:rFonts w:ascii="Aptos Display" w:eastAsia="Tahoma" w:hAnsi="Aptos Display" w:cstheme="minorHAnsi"/>
          <w:b/>
        </w:rPr>
        <w:t>ISAT</w:t>
      </w:r>
      <w:r w:rsidR="001A6ADD" w:rsidRPr="00876467">
        <w:rPr>
          <w:rFonts w:ascii="Aptos Display" w:eastAsia="Tahoma" w:hAnsi="Aptos Display" w:cstheme="minorHAnsi"/>
          <w:b/>
        </w:rPr>
        <w:t>)</w:t>
      </w:r>
      <w:r w:rsidR="003D4F72" w:rsidRPr="00876467">
        <w:rPr>
          <w:rFonts w:ascii="Aptos Display" w:eastAsia="Tahoma" w:hAnsi="Aptos Display" w:cstheme="minorHAnsi"/>
          <w:b/>
        </w:rPr>
        <w:t xml:space="preserve"> Project</w:t>
      </w:r>
    </w:p>
    <w:p w14:paraId="6E5CEF77" w14:textId="77777777" w:rsidR="001A3771" w:rsidRPr="00876467" w:rsidRDefault="001A3771" w:rsidP="003F2D41">
      <w:pPr>
        <w:spacing w:after="40" w:line="240" w:lineRule="auto"/>
        <w:ind w:left="1440"/>
        <w:jc w:val="both"/>
        <w:rPr>
          <w:rFonts w:ascii="Aptos Display" w:eastAsia="Tahoma" w:hAnsi="Aptos Display" w:cstheme="minorHAnsi"/>
          <w:b/>
        </w:rPr>
      </w:pPr>
      <w:r w:rsidRPr="00876467">
        <w:rPr>
          <w:rFonts w:ascii="Aptos Display" w:eastAsia="Tahoma" w:hAnsi="Aptos Display" w:cstheme="minorHAnsi"/>
          <w:b/>
        </w:rPr>
        <w:t>(</w:t>
      </w:r>
      <w:r w:rsidR="0063314A" w:rsidRPr="00876467">
        <w:rPr>
          <w:rFonts w:ascii="Aptos Display" w:eastAsia="Tahoma" w:hAnsi="Aptos Display" w:cstheme="minorHAnsi"/>
          <w:b/>
        </w:rPr>
        <w:t>Local and International Consulting Firms</w:t>
      </w:r>
      <w:r w:rsidR="0063314A" w:rsidRPr="00876467">
        <w:rPr>
          <w:rFonts w:ascii="Aptos Display" w:hAnsi="Aptos Display" w:cstheme="minorHAnsi"/>
          <w:b/>
          <w:shd w:val="clear" w:color="auto" w:fill="FFFFFF"/>
        </w:rPr>
        <w:t xml:space="preserve"> </w:t>
      </w:r>
      <w:r w:rsidR="00ED43C6" w:rsidRPr="00876467">
        <w:rPr>
          <w:rFonts w:ascii="Aptos Display" w:hAnsi="Aptos Display" w:cstheme="minorHAnsi"/>
          <w:b/>
          <w:shd w:val="clear" w:color="auto" w:fill="FFFFFF"/>
        </w:rPr>
        <w:t>(</w:t>
      </w:r>
      <w:r w:rsidR="001C4A51" w:rsidRPr="00876467">
        <w:rPr>
          <w:rFonts w:ascii="Aptos Display" w:hAnsi="Aptos Display" w:cstheme="minorHAnsi"/>
          <w:b/>
          <w:shd w:val="clear" w:color="auto" w:fill="FFFFFF"/>
        </w:rPr>
        <w:t xml:space="preserve">Quality </w:t>
      </w:r>
      <w:r w:rsidR="00D146EA" w:rsidRPr="00876467">
        <w:rPr>
          <w:rFonts w:ascii="Aptos Display" w:hAnsi="Aptos Display" w:cstheme="minorHAnsi"/>
          <w:b/>
          <w:shd w:val="clear" w:color="auto" w:fill="FFFFFF"/>
        </w:rPr>
        <w:t>a</w:t>
      </w:r>
      <w:r w:rsidR="001C4A51" w:rsidRPr="00876467">
        <w:rPr>
          <w:rFonts w:ascii="Aptos Display" w:hAnsi="Aptos Display" w:cstheme="minorHAnsi"/>
          <w:b/>
          <w:shd w:val="clear" w:color="auto" w:fill="FFFFFF"/>
        </w:rPr>
        <w:t>nd Cost-Based Selection</w:t>
      </w:r>
      <w:r w:rsidR="00ED43C6" w:rsidRPr="00876467">
        <w:rPr>
          <w:rFonts w:ascii="Aptos Display" w:hAnsi="Aptos Display" w:cstheme="minorHAnsi"/>
          <w:b/>
          <w:shd w:val="clear" w:color="auto" w:fill="FFFFFF"/>
        </w:rPr>
        <w:t>)</w:t>
      </w:r>
      <w:r w:rsidR="001C4A51" w:rsidRPr="00876467">
        <w:rPr>
          <w:rFonts w:ascii="Aptos Display" w:hAnsi="Aptos Display" w:cstheme="minorHAnsi"/>
          <w:b/>
          <w:shd w:val="clear" w:color="auto" w:fill="FFFFFF"/>
        </w:rPr>
        <w:t>)</w:t>
      </w:r>
    </w:p>
    <w:p w14:paraId="7E5B9CBE" w14:textId="77777777" w:rsidR="009E78B1" w:rsidRPr="00876467" w:rsidRDefault="009E78B1" w:rsidP="003F2D41">
      <w:pPr>
        <w:shd w:val="clear" w:color="auto" w:fill="FFFFFF"/>
        <w:spacing w:after="0" w:line="240" w:lineRule="auto"/>
        <w:ind w:left="1440" w:hanging="1440"/>
        <w:jc w:val="both"/>
        <w:rPr>
          <w:rFonts w:ascii="Aptos Display" w:eastAsia="Times New Roman" w:hAnsi="Aptos Display" w:cstheme="minorHAnsi"/>
          <w:color w:val="333333"/>
        </w:rPr>
      </w:pPr>
      <w:r w:rsidRPr="00876467">
        <w:rPr>
          <w:rFonts w:ascii="Aptos Display" w:eastAsia="Times New Roman" w:hAnsi="Aptos Display" w:cstheme="minorHAnsi"/>
          <w:b/>
          <w:color w:val="333333"/>
        </w:rPr>
        <w:t>Project:</w:t>
      </w:r>
      <w:r w:rsidRPr="00876467">
        <w:rPr>
          <w:rFonts w:ascii="Aptos Display" w:eastAsia="Times New Roman" w:hAnsi="Aptos Display" w:cstheme="minorHAnsi"/>
          <w:b/>
          <w:color w:val="333333"/>
        </w:rPr>
        <w:tab/>
      </w:r>
      <w:r w:rsidRPr="00876467">
        <w:rPr>
          <w:rFonts w:ascii="Aptos Display" w:eastAsia="Aptos" w:hAnsi="Aptos Display" w:cstheme="minorHAnsi"/>
          <w:b/>
          <w:color w:val="000000"/>
          <w:kern w:val="2"/>
          <w14:ligatures w14:val="standardContextual"/>
        </w:rPr>
        <w:t>Irrigated and Sustainable Agriculture for Transformation (ISAT) Project Preparation Grant</w:t>
      </w:r>
    </w:p>
    <w:p w14:paraId="1B991040" w14:textId="77777777" w:rsidR="008C2CD3" w:rsidRPr="00876467" w:rsidRDefault="008C2CD3" w:rsidP="003F2D41">
      <w:pPr>
        <w:suppressAutoHyphens/>
        <w:spacing w:after="0" w:line="240" w:lineRule="auto"/>
        <w:jc w:val="both"/>
        <w:rPr>
          <w:rFonts w:ascii="Aptos Display" w:eastAsia="Times New Roman" w:hAnsi="Aptos Display" w:cstheme="minorHAnsi"/>
          <w:lang w:eastAsia="en-GB"/>
        </w:rPr>
      </w:pPr>
    </w:p>
    <w:p w14:paraId="5A111807" w14:textId="77777777" w:rsidR="00D266E2" w:rsidRPr="00876467" w:rsidRDefault="00D266E2" w:rsidP="003F2D41">
      <w:pPr>
        <w:spacing w:line="240" w:lineRule="auto"/>
        <w:jc w:val="both"/>
        <w:rPr>
          <w:rFonts w:ascii="Aptos Display" w:eastAsia="MS Mincho" w:hAnsi="Aptos Display" w:cstheme="minorHAnsi"/>
          <w:lang w:val="en-US"/>
        </w:rPr>
      </w:pPr>
      <w:r w:rsidRPr="00876467">
        <w:rPr>
          <w:rFonts w:ascii="Aptos Display" w:eastAsia="MS Mincho" w:hAnsi="Aptos Display" w:cstheme="minorHAnsi"/>
          <w:lang w:val="en-US"/>
        </w:rPr>
        <w:t xml:space="preserve">The Government of the Republic of Zambia (GRZ) has requested support from the World Bank through a </w:t>
      </w:r>
      <w:r w:rsidRPr="00876467">
        <w:rPr>
          <w:rFonts w:ascii="Aptos Display" w:eastAsia="MS Mincho" w:hAnsi="Aptos Display" w:cstheme="minorHAnsi"/>
          <w:b/>
          <w:bCs/>
          <w:lang w:val="en-US"/>
        </w:rPr>
        <w:t>Project Preparation Grant (PPG)</w:t>
      </w:r>
      <w:r w:rsidRPr="00876467">
        <w:rPr>
          <w:rFonts w:ascii="Aptos Display" w:eastAsia="MS Mincho" w:hAnsi="Aptos Display" w:cstheme="minorHAnsi"/>
          <w:lang w:val="en-US"/>
        </w:rPr>
        <w:t xml:space="preserve"> to advance the preparation of the </w:t>
      </w:r>
      <w:r w:rsidRPr="00876467">
        <w:rPr>
          <w:rFonts w:ascii="Aptos Display" w:eastAsia="MS Mincho" w:hAnsi="Aptos Display" w:cstheme="minorHAnsi"/>
          <w:b/>
          <w:bCs/>
          <w:lang w:val="en-US"/>
        </w:rPr>
        <w:t>Irrigated and Sustainable Agriculture for Transformation (ISAT) Project</w:t>
      </w:r>
      <w:r w:rsidRPr="00876467">
        <w:rPr>
          <w:rFonts w:ascii="Aptos Display" w:eastAsia="MS Mincho" w:hAnsi="Aptos Display" w:cstheme="minorHAnsi"/>
          <w:lang w:val="en-US"/>
        </w:rPr>
        <w:t xml:space="preserve">. The PPG is intended to support the identification, technical assessment, and preparation of </w:t>
      </w:r>
      <w:r w:rsidRPr="00876467">
        <w:rPr>
          <w:rFonts w:ascii="Aptos Display" w:eastAsia="MS Mincho" w:hAnsi="Aptos Display" w:cstheme="minorHAnsi"/>
          <w:b/>
          <w:bCs/>
          <w:lang w:val="en-US"/>
        </w:rPr>
        <w:t>priority irrigation schemes</w:t>
      </w:r>
      <w:r w:rsidRPr="00876467">
        <w:rPr>
          <w:rFonts w:ascii="Aptos Display" w:eastAsia="MS Mincho" w:hAnsi="Aptos Display" w:cstheme="minorHAnsi"/>
          <w:lang w:val="en-US"/>
        </w:rPr>
        <w:t xml:space="preserve"> that can be taken forward under the full ISAT operation.</w:t>
      </w:r>
    </w:p>
    <w:p w14:paraId="5CD3A7E5" w14:textId="77777777" w:rsidR="00D266E2" w:rsidRPr="00876467" w:rsidRDefault="00D266E2" w:rsidP="003F2D41">
      <w:pPr>
        <w:spacing w:line="240" w:lineRule="auto"/>
        <w:jc w:val="both"/>
        <w:rPr>
          <w:rFonts w:ascii="Aptos Display" w:eastAsia="MS Mincho" w:hAnsi="Aptos Display" w:cstheme="minorHAnsi"/>
          <w:lang w:val="en-US"/>
        </w:rPr>
      </w:pPr>
      <w:r w:rsidRPr="00876467">
        <w:rPr>
          <w:rFonts w:ascii="Aptos Display" w:eastAsia="MS Mincho" w:hAnsi="Aptos Display" w:cstheme="minorHAnsi"/>
          <w:lang w:val="en-US"/>
        </w:rPr>
        <w:t>There are different types of irrigation investments and scheme models in Zambia: large-scale public schemes; community-based schemes; farmer-led irrigation development (FLID); and corporate irrigation enterprises sometimes in partnership with the other types. The Irrigation Development Support Project (IDSP) is an example where the government has established large public irrigation schemes serving both large commercial and smallholder farmers, which were planned to be run by private operators. IDSP aim</w:t>
      </w:r>
      <w:r w:rsidR="000D4415" w:rsidRPr="00876467">
        <w:rPr>
          <w:rFonts w:ascii="Aptos Display" w:eastAsia="MS Mincho" w:hAnsi="Aptos Display" w:cstheme="minorHAnsi"/>
          <w:lang w:val="en-US"/>
        </w:rPr>
        <w:t>ed</w:t>
      </w:r>
      <w:r w:rsidRPr="00876467">
        <w:rPr>
          <w:rFonts w:ascii="Aptos Display" w:eastAsia="MS Mincho" w:hAnsi="Aptos Display" w:cstheme="minorHAnsi"/>
          <w:lang w:val="en-US"/>
        </w:rPr>
        <w:t xml:space="preserve"> t</w:t>
      </w:r>
      <w:r w:rsidR="000D4415" w:rsidRPr="00876467">
        <w:rPr>
          <w:rFonts w:ascii="Aptos Display" w:eastAsia="MS Mincho" w:hAnsi="Aptos Display" w:cstheme="minorHAnsi"/>
          <w:lang w:val="en-US"/>
        </w:rPr>
        <w:t>o</w:t>
      </w:r>
      <w:r w:rsidRPr="00876467">
        <w:rPr>
          <w:rFonts w:ascii="Aptos Display" w:eastAsia="MS Mincho" w:hAnsi="Aptos Display" w:cstheme="minorHAnsi"/>
          <w:lang w:val="en-US"/>
        </w:rPr>
        <w:t xml:space="preserve"> increase the area under irrigation in the country.  In addition, IDSP supported the rehabilitation of ten dams. </w:t>
      </w:r>
    </w:p>
    <w:p w14:paraId="3EDCF6D9" w14:textId="77777777" w:rsidR="00D266E2" w:rsidRPr="00876467" w:rsidRDefault="00D266E2" w:rsidP="003F2D41">
      <w:pPr>
        <w:spacing w:line="240" w:lineRule="auto"/>
        <w:jc w:val="both"/>
        <w:rPr>
          <w:rFonts w:ascii="Aptos Display" w:eastAsia="MS Mincho" w:hAnsi="Aptos Display" w:cstheme="minorHAnsi"/>
          <w:lang w:val="en-US"/>
        </w:rPr>
      </w:pPr>
      <w:r w:rsidRPr="00876467">
        <w:rPr>
          <w:rFonts w:ascii="Aptos Display" w:eastAsia="MS Mincho" w:hAnsi="Aptos Display" w:cstheme="minorHAnsi"/>
          <w:lang w:val="en-US"/>
        </w:rPr>
        <w:t xml:space="preserve">Existing irrigation infrastructures are uneven in quality and performance, and many schemes face challenges related to design adequacy, operation and maintenance arrangements, access to reliable water sources, and linkages to markets. These constraints limit productivity, resilience to climate variability, and the economic viability of irrigated agriculture. </w:t>
      </w:r>
    </w:p>
    <w:p w14:paraId="3DF6C9EF" w14:textId="77777777" w:rsidR="00D266E2" w:rsidRPr="00876467" w:rsidRDefault="00D266E2" w:rsidP="003F2D41">
      <w:pPr>
        <w:spacing w:line="240" w:lineRule="auto"/>
        <w:jc w:val="both"/>
        <w:rPr>
          <w:rFonts w:ascii="Aptos Display" w:eastAsia="MS Mincho" w:hAnsi="Aptos Display" w:cstheme="minorHAnsi"/>
          <w:lang w:val="en-US"/>
        </w:rPr>
      </w:pPr>
      <w:r w:rsidRPr="00876467">
        <w:rPr>
          <w:rFonts w:ascii="Aptos Display" w:eastAsia="MS Mincho" w:hAnsi="Aptos Display" w:cstheme="minorHAnsi"/>
          <w:lang w:val="en-US"/>
        </w:rPr>
        <w:t xml:space="preserve">The ISAT Project is designed to address these constraints by supporting both the </w:t>
      </w:r>
      <w:r w:rsidRPr="00876467">
        <w:rPr>
          <w:rFonts w:ascii="Aptos Display" w:eastAsia="MS Mincho" w:hAnsi="Aptos Display" w:cstheme="minorHAnsi"/>
          <w:b/>
          <w:bCs/>
          <w:lang w:val="en-US"/>
        </w:rPr>
        <w:t>development of new irrigation schemes</w:t>
      </w:r>
      <w:r w:rsidRPr="00876467">
        <w:rPr>
          <w:rFonts w:ascii="Aptos Display" w:eastAsia="MS Mincho" w:hAnsi="Aptos Display" w:cstheme="minorHAnsi"/>
          <w:lang w:val="en-US"/>
        </w:rPr>
        <w:t xml:space="preserve"> and the </w:t>
      </w:r>
      <w:r w:rsidRPr="00876467">
        <w:rPr>
          <w:rFonts w:ascii="Aptos Display" w:eastAsia="MS Mincho" w:hAnsi="Aptos Display" w:cstheme="minorHAnsi"/>
          <w:b/>
          <w:bCs/>
          <w:lang w:val="en-US"/>
        </w:rPr>
        <w:t>rehabilitation and modernization of existing ones</w:t>
      </w:r>
      <w:r w:rsidRPr="00876467">
        <w:rPr>
          <w:rFonts w:ascii="Aptos Display" w:eastAsia="MS Mincho" w:hAnsi="Aptos Display" w:cstheme="minorHAnsi"/>
          <w:lang w:val="en-US"/>
        </w:rPr>
        <w:t>, combined with complementary investments in farmer capacity, irrigation management, and value chain linkages. The Preparation Grant focuses specifically on generating the technical, economic, environmental, and institutional evidence required to inform these investments.</w:t>
      </w:r>
    </w:p>
    <w:p w14:paraId="3FADAD44" w14:textId="77777777" w:rsidR="00D266E2" w:rsidRPr="00876467" w:rsidRDefault="00D266E2" w:rsidP="003F2D41">
      <w:pPr>
        <w:keepNext/>
        <w:keepLines/>
        <w:spacing w:after="240" w:line="240" w:lineRule="auto"/>
        <w:ind w:left="284" w:hanging="360"/>
        <w:jc w:val="both"/>
        <w:outlineLvl w:val="0"/>
        <w:rPr>
          <w:rFonts w:ascii="Aptos Display" w:eastAsia="MS Gothic" w:hAnsi="Aptos Display" w:cstheme="minorHAnsi"/>
          <w:b/>
          <w:bCs/>
          <w:color w:val="1F497D"/>
          <w:lang w:val="en-US"/>
        </w:rPr>
      </w:pPr>
      <w:r w:rsidRPr="00876467">
        <w:rPr>
          <w:rFonts w:ascii="Aptos Display" w:eastAsia="MS Gothic" w:hAnsi="Aptos Display" w:cstheme="minorHAnsi"/>
          <w:b/>
          <w:bCs/>
          <w:color w:val="1F497D"/>
          <w:lang w:val="en-US"/>
        </w:rPr>
        <w:t>Objectives of the Assignment</w:t>
      </w:r>
    </w:p>
    <w:p w14:paraId="04DCE292" w14:textId="79B885F2" w:rsidR="00D266E2" w:rsidRPr="00876467" w:rsidRDefault="00D266E2" w:rsidP="003F2D41">
      <w:pPr>
        <w:spacing w:line="240" w:lineRule="auto"/>
        <w:jc w:val="both"/>
        <w:rPr>
          <w:rFonts w:ascii="Aptos Display" w:eastAsia="MS Mincho" w:hAnsi="Aptos Display" w:cstheme="minorHAnsi"/>
          <w:lang w:val="en-US"/>
        </w:rPr>
      </w:pPr>
      <w:r w:rsidRPr="00876467">
        <w:rPr>
          <w:rFonts w:ascii="Aptos Display" w:eastAsia="MS Mincho" w:hAnsi="Aptos Display" w:cstheme="minorHAnsi"/>
          <w:lang w:val="en-US"/>
        </w:rPr>
        <w:t xml:space="preserve">The main objective of the assignment is to conduct </w:t>
      </w:r>
      <w:r w:rsidR="0063254D" w:rsidRPr="00876467">
        <w:rPr>
          <w:rFonts w:ascii="Aptos Display" w:eastAsia="MS Mincho" w:hAnsi="Aptos Display" w:cstheme="minorHAnsi"/>
          <w:lang w:val="en-US"/>
        </w:rPr>
        <w:t>I</w:t>
      </w:r>
      <w:r w:rsidRPr="00876467">
        <w:rPr>
          <w:rFonts w:ascii="Aptos Display" w:eastAsia="MS Mincho" w:hAnsi="Aptos Display" w:cstheme="minorHAnsi"/>
          <w:lang w:val="en-US"/>
        </w:rPr>
        <w:t xml:space="preserve">rrigation </w:t>
      </w:r>
      <w:r w:rsidR="0063254D" w:rsidRPr="00876467">
        <w:rPr>
          <w:rFonts w:ascii="Aptos Display" w:eastAsia="MS Mincho" w:hAnsi="Aptos Display" w:cstheme="minorHAnsi"/>
          <w:lang w:val="en-US"/>
        </w:rPr>
        <w:t>F</w:t>
      </w:r>
      <w:r w:rsidRPr="00876467">
        <w:rPr>
          <w:rFonts w:ascii="Aptos Display" w:eastAsia="MS Mincho" w:hAnsi="Aptos Display" w:cstheme="minorHAnsi"/>
          <w:lang w:val="en-US"/>
        </w:rPr>
        <w:t xml:space="preserve">easibility </w:t>
      </w:r>
      <w:r w:rsidR="0063254D" w:rsidRPr="00876467">
        <w:rPr>
          <w:rFonts w:ascii="Aptos Display" w:eastAsia="MS Mincho" w:hAnsi="Aptos Display" w:cstheme="minorHAnsi"/>
          <w:lang w:val="en-US"/>
        </w:rPr>
        <w:t>S</w:t>
      </w:r>
      <w:r w:rsidRPr="00876467">
        <w:rPr>
          <w:rFonts w:ascii="Aptos Display" w:eastAsia="MS Mincho" w:hAnsi="Aptos Display" w:cstheme="minorHAnsi"/>
          <w:lang w:val="en-US"/>
        </w:rPr>
        <w:t>tudies,</w:t>
      </w:r>
      <w:r w:rsidR="0063254D" w:rsidRPr="00876467">
        <w:rPr>
          <w:rFonts w:ascii="Aptos Display" w:eastAsia="MS Mincho" w:hAnsi="Aptos Display" w:cstheme="minorHAnsi"/>
          <w:lang w:val="en-US"/>
        </w:rPr>
        <w:t xml:space="preserve"> Environmental and Social Instruments,</w:t>
      </w:r>
      <w:r w:rsidRPr="00876467">
        <w:rPr>
          <w:rFonts w:ascii="Aptos Display" w:eastAsia="MS Mincho" w:hAnsi="Aptos Display" w:cstheme="minorHAnsi"/>
          <w:lang w:val="en-US"/>
        </w:rPr>
        <w:t xml:space="preserve"> prepare detailed designs bidding</w:t>
      </w:r>
      <w:r w:rsidR="0063254D" w:rsidRPr="00876467">
        <w:rPr>
          <w:rFonts w:ascii="Aptos Display" w:eastAsia="MS Mincho" w:hAnsi="Aptos Display" w:cstheme="minorHAnsi"/>
          <w:lang w:val="en-US"/>
        </w:rPr>
        <w:t xml:space="preserve"> and Tender</w:t>
      </w:r>
      <w:r w:rsidRPr="00876467">
        <w:rPr>
          <w:rFonts w:ascii="Aptos Display" w:eastAsia="MS Mincho" w:hAnsi="Aptos Display" w:cstheme="minorHAnsi"/>
          <w:lang w:val="en-US"/>
        </w:rPr>
        <w:t xml:space="preserve"> documents for the establishment of new and modernized irrigation schemes under the proposed ISAT Project. </w:t>
      </w:r>
    </w:p>
    <w:p w14:paraId="28ECBEDA" w14:textId="77777777" w:rsidR="00D23899" w:rsidRPr="00876467" w:rsidRDefault="00D23899" w:rsidP="003F2D41">
      <w:pPr>
        <w:pStyle w:val="Heading1"/>
        <w:numPr>
          <w:ilvl w:val="0"/>
          <w:numId w:val="0"/>
        </w:numPr>
        <w:spacing w:line="240" w:lineRule="auto"/>
        <w:ind w:left="284" w:hanging="284"/>
        <w:jc w:val="both"/>
        <w:rPr>
          <w:rFonts w:ascii="Aptos Display" w:hAnsi="Aptos Display" w:cstheme="minorHAnsi"/>
          <w:sz w:val="22"/>
          <w:szCs w:val="22"/>
        </w:rPr>
      </w:pPr>
      <w:r w:rsidRPr="00876467">
        <w:rPr>
          <w:rFonts w:ascii="Aptos Display" w:hAnsi="Aptos Display" w:cstheme="minorHAnsi"/>
          <w:sz w:val="22"/>
          <w:szCs w:val="22"/>
        </w:rPr>
        <w:t>Scope of Services and Tasks</w:t>
      </w:r>
    </w:p>
    <w:p w14:paraId="1D62736F" w14:textId="77777777" w:rsidR="00D23899" w:rsidRPr="00876467" w:rsidRDefault="00D23899" w:rsidP="003F2D41">
      <w:pPr>
        <w:spacing w:line="240" w:lineRule="auto"/>
        <w:jc w:val="both"/>
        <w:rPr>
          <w:rFonts w:ascii="Aptos Display" w:hAnsi="Aptos Display" w:cstheme="minorHAnsi"/>
        </w:rPr>
      </w:pPr>
      <w:r w:rsidRPr="00876467">
        <w:rPr>
          <w:rFonts w:ascii="Aptos Display" w:hAnsi="Aptos Display" w:cstheme="minorHAnsi"/>
        </w:rPr>
        <w:t>The consult</w:t>
      </w:r>
      <w:r w:rsidR="00542155" w:rsidRPr="00876467">
        <w:rPr>
          <w:rFonts w:ascii="Aptos Display" w:hAnsi="Aptos Display" w:cstheme="minorHAnsi"/>
        </w:rPr>
        <w:t>ing Firm</w:t>
      </w:r>
      <w:r w:rsidRPr="00876467">
        <w:rPr>
          <w:rFonts w:ascii="Aptos Display" w:hAnsi="Aptos Display" w:cstheme="minorHAnsi"/>
        </w:rPr>
        <w:t xml:space="preserve"> will conduct the following </w:t>
      </w:r>
      <w:r w:rsidR="00542155" w:rsidRPr="00876467">
        <w:rPr>
          <w:rFonts w:ascii="Aptos Display" w:hAnsi="Aptos Display" w:cstheme="minorHAnsi"/>
        </w:rPr>
        <w:t xml:space="preserve">key </w:t>
      </w:r>
      <w:r w:rsidRPr="00876467">
        <w:rPr>
          <w:rFonts w:ascii="Aptos Display" w:hAnsi="Aptos Display" w:cstheme="minorHAnsi"/>
        </w:rPr>
        <w:t>tasks to achieve the assignment outcomes:</w:t>
      </w:r>
    </w:p>
    <w:p w14:paraId="64F332AD" w14:textId="77777777" w:rsidR="00D23899" w:rsidRPr="00876467" w:rsidRDefault="00D23899" w:rsidP="003F2D41">
      <w:pPr>
        <w:pStyle w:val="Heading2"/>
        <w:spacing w:line="240" w:lineRule="auto"/>
        <w:rPr>
          <w:rFonts w:ascii="Aptos Display" w:hAnsi="Aptos Display" w:cstheme="minorHAnsi"/>
          <w:sz w:val="22"/>
          <w:szCs w:val="22"/>
        </w:rPr>
      </w:pPr>
      <w:r w:rsidRPr="00876467">
        <w:rPr>
          <w:rFonts w:ascii="Aptos Display" w:hAnsi="Aptos Display" w:cstheme="minorHAnsi"/>
          <w:sz w:val="22"/>
          <w:szCs w:val="22"/>
        </w:rPr>
        <w:t>Task 1 – Feasibility studies and detailed designs for 11 new irrigation schemes</w:t>
      </w:r>
    </w:p>
    <w:p w14:paraId="60EC1061" w14:textId="3D611AB3" w:rsidR="00D23899" w:rsidRPr="00876467" w:rsidRDefault="00D23899" w:rsidP="003F2D41">
      <w:pPr>
        <w:spacing w:line="240" w:lineRule="auto"/>
        <w:jc w:val="both"/>
        <w:rPr>
          <w:rFonts w:ascii="Aptos Display" w:hAnsi="Aptos Display" w:cstheme="minorHAnsi"/>
        </w:rPr>
      </w:pPr>
      <w:r w:rsidRPr="00876467">
        <w:rPr>
          <w:rFonts w:ascii="Aptos Display" w:hAnsi="Aptos Display" w:cstheme="minorHAnsi"/>
        </w:rPr>
        <w:t xml:space="preserve">Task 1 will require the consultant to conduct feasibility studies and detailed designs, including the institutional and organizational arrangements for operations and maintenance, of 11 new irrigation schemes in close consultation with all stakeholders. Up to ten of these schemes will be supplied by water from 10 dams that </w:t>
      </w:r>
      <w:r w:rsidRPr="00876467">
        <w:rPr>
          <w:rFonts w:ascii="Aptos Display" w:hAnsi="Aptos Display" w:cstheme="minorHAnsi"/>
        </w:rPr>
        <w:lastRenderedPageBreak/>
        <w:t>were rehabilitated under the Irrigation Development Support Project (IDSP) and the 11</w:t>
      </w:r>
      <w:r w:rsidRPr="00876467">
        <w:rPr>
          <w:rFonts w:ascii="Aptos Display" w:hAnsi="Aptos Display" w:cstheme="minorHAnsi"/>
          <w:vertAlign w:val="superscript"/>
        </w:rPr>
        <w:t>th</w:t>
      </w:r>
      <w:r w:rsidRPr="00876467">
        <w:rPr>
          <w:rFonts w:ascii="Aptos Display" w:hAnsi="Aptos Display" w:cstheme="minorHAnsi"/>
        </w:rPr>
        <w:t xml:space="preserve"> scheme will be located at the Nanga Irrigation Research Station, drawing water directly from the Kafue River. </w:t>
      </w:r>
    </w:p>
    <w:p w14:paraId="5B3D4AE7" w14:textId="77777777" w:rsidR="00D266E2" w:rsidRPr="00876467" w:rsidRDefault="00D23899" w:rsidP="003F2D41">
      <w:pPr>
        <w:pStyle w:val="ListParagraph"/>
        <w:widowControl w:val="0"/>
        <w:shd w:val="clear" w:color="auto" w:fill="FFFFFF"/>
        <w:ind w:left="0"/>
        <w:jc w:val="both"/>
        <w:rPr>
          <w:rFonts w:ascii="Aptos Display" w:hAnsi="Aptos Display" w:cstheme="minorHAnsi"/>
          <w:sz w:val="22"/>
          <w:szCs w:val="22"/>
        </w:rPr>
      </w:pPr>
      <w:r w:rsidRPr="00876467">
        <w:rPr>
          <w:rFonts w:ascii="Aptos Display" w:hAnsi="Aptos Display" w:cstheme="minorHAnsi"/>
          <w:sz w:val="22"/>
          <w:szCs w:val="22"/>
        </w:rPr>
        <w:t>The feasibility studies will ascertain the technical soundness, financial feasibility (profitability and cost benefit assessment at the farm level), the economic viability (at the national level), the social and environmental sustainability, and define possible organizational arrangements for Operations, Management, and Maintenance (OMM).</w:t>
      </w:r>
    </w:p>
    <w:p w14:paraId="596F6ED0" w14:textId="77777777" w:rsidR="00BF38DE" w:rsidRPr="00876467" w:rsidRDefault="00BF38DE" w:rsidP="003F2D41">
      <w:pPr>
        <w:pStyle w:val="ListParagraph"/>
        <w:widowControl w:val="0"/>
        <w:shd w:val="clear" w:color="auto" w:fill="FFFFFF"/>
        <w:ind w:left="0"/>
        <w:jc w:val="both"/>
        <w:rPr>
          <w:rFonts w:ascii="Aptos Display" w:hAnsi="Aptos Display" w:cstheme="minorHAnsi"/>
          <w:sz w:val="22"/>
          <w:szCs w:val="22"/>
        </w:rPr>
      </w:pPr>
    </w:p>
    <w:p w14:paraId="22FAF4CF" w14:textId="77777777" w:rsidR="00BF38DE" w:rsidRPr="00876467" w:rsidRDefault="00BF38DE" w:rsidP="003F2D41">
      <w:pPr>
        <w:keepNext/>
        <w:keepLines/>
        <w:tabs>
          <w:tab w:val="left" w:pos="567"/>
        </w:tabs>
        <w:spacing w:after="120" w:line="240" w:lineRule="auto"/>
        <w:jc w:val="both"/>
        <w:outlineLvl w:val="1"/>
        <w:rPr>
          <w:rFonts w:ascii="Aptos Display" w:eastAsia="MS Gothic" w:hAnsi="Aptos Display" w:cstheme="minorHAnsi"/>
          <w:b/>
          <w:bCs/>
          <w:color w:val="1F497D"/>
          <w:lang w:val="en-US"/>
        </w:rPr>
      </w:pPr>
      <w:r w:rsidRPr="00876467">
        <w:rPr>
          <w:rFonts w:ascii="Aptos Display" w:eastAsia="MS Gothic" w:hAnsi="Aptos Display" w:cstheme="minorHAnsi"/>
          <w:b/>
          <w:bCs/>
          <w:color w:val="1F497D"/>
          <w:lang w:val="en-US"/>
        </w:rPr>
        <w:t xml:space="preserve">Task 2 – Feasibility studies and detailed design for modernization of 21 existing community managed (COBSI) schemes </w:t>
      </w:r>
    </w:p>
    <w:p w14:paraId="108E7B79" w14:textId="09EBBCEE" w:rsidR="00BF38DE" w:rsidRPr="00876467" w:rsidRDefault="00BF38DE" w:rsidP="003F2D41">
      <w:pPr>
        <w:spacing w:line="240" w:lineRule="auto"/>
        <w:jc w:val="both"/>
        <w:rPr>
          <w:rFonts w:ascii="Aptos Display" w:eastAsia="MS Mincho" w:hAnsi="Aptos Display" w:cstheme="minorHAnsi"/>
          <w:lang w:val="en-US"/>
        </w:rPr>
      </w:pPr>
      <w:r w:rsidRPr="00876467">
        <w:rPr>
          <w:rFonts w:ascii="Aptos Display" w:eastAsia="MS Mincho" w:hAnsi="Aptos Display" w:cstheme="minorHAnsi"/>
          <w:b/>
          <w:bCs/>
          <w:lang w:val="en-US"/>
        </w:rPr>
        <w:t>Feasibility Study of modernization options:</w:t>
      </w:r>
      <w:r w:rsidRPr="00876467">
        <w:rPr>
          <w:rFonts w:ascii="Aptos Display" w:eastAsia="MS Mincho" w:hAnsi="Aptos Display" w:cstheme="minorHAnsi"/>
          <w:lang w:val="en-US"/>
        </w:rPr>
        <w:t xml:space="preserve"> The </w:t>
      </w:r>
      <w:r w:rsidR="00222D0F" w:rsidRPr="00876467">
        <w:rPr>
          <w:rFonts w:ascii="Aptos Display" w:eastAsia="MS Mincho" w:hAnsi="Aptos Display" w:cstheme="minorHAnsi"/>
          <w:lang w:val="en-US"/>
        </w:rPr>
        <w:t xml:space="preserve">Community Based Smallholder </w:t>
      </w:r>
      <w:r w:rsidR="00681147" w:rsidRPr="00876467">
        <w:rPr>
          <w:rFonts w:ascii="Aptos Display" w:eastAsia="MS Mincho" w:hAnsi="Aptos Display" w:cstheme="minorHAnsi"/>
          <w:lang w:val="en-US"/>
        </w:rPr>
        <w:t>Irrigation (</w:t>
      </w:r>
      <w:r w:rsidRPr="00876467">
        <w:rPr>
          <w:rFonts w:ascii="Aptos Display" w:eastAsia="MS Mincho" w:hAnsi="Aptos Display" w:cstheme="minorHAnsi"/>
          <w:lang w:val="en-US"/>
        </w:rPr>
        <w:t>COBSI</w:t>
      </w:r>
      <w:r w:rsidR="00681147" w:rsidRPr="00876467">
        <w:rPr>
          <w:rFonts w:ascii="Aptos Display" w:eastAsia="MS Mincho" w:hAnsi="Aptos Display" w:cstheme="minorHAnsi"/>
          <w:lang w:val="en-US"/>
        </w:rPr>
        <w:t>)</w:t>
      </w:r>
      <w:r w:rsidRPr="00876467">
        <w:rPr>
          <w:rFonts w:ascii="Aptos Display" w:eastAsia="MS Mincho" w:hAnsi="Aptos Display" w:cstheme="minorHAnsi"/>
          <w:lang w:val="en-US"/>
        </w:rPr>
        <w:t xml:space="preserve"> schemes are small and simple gravity irrigation systems where technical design and organizational development support was provided by the Japan International Cooperation Agency (JICA), and the district engineering teams. The COBSI schemes are characterized by simple diversion weirs, earthen canals and basic flow control and regulation structures, managed by volunteer community farmer organizations.</w:t>
      </w:r>
    </w:p>
    <w:p w14:paraId="4523955E" w14:textId="77777777" w:rsidR="00231553" w:rsidRPr="00876467" w:rsidRDefault="00231553" w:rsidP="003F2D41">
      <w:pPr>
        <w:keepNext/>
        <w:keepLines/>
        <w:tabs>
          <w:tab w:val="left" w:pos="567"/>
        </w:tabs>
        <w:spacing w:after="120" w:line="240" w:lineRule="auto"/>
        <w:jc w:val="both"/>
        <w:outlineLvl w:val="1"/>
        <w:rPr>
          <w:rFonts w:ascii="Aptos Display" w:eastAsia="MS Gothic" w:hAnsi="Aptos Display" w:cstheme="minorHAnsi"/>
          <w:b/>
          <w:bCs/>
          <w:color w:val="1F497D"/>
          <w:lang w:val="en-US"/>
        </w:rPr>
      </w:pPr>
      <w:r w:rsidRPr="00876467">
        <w:rPr>
          <w:rFonts w:ascii="Aptos Display" w:eastAsia="MS Gothic" w:hAnsi="Aptos Display" w:cstheme="minorHAnsi"/>
          <w:b/>
          <w:bCs/>
          <w:color w:val="1F497D"/>
          <w:lang w:val="en-US"/>
        </w:rPr>
        <w:t>Task 3 – Feasibility study and detailed design for expansion of existing Manyonyo (Sugar cane) Irrigation scheme.</w:t>
      </w:r>
    </w:p>
    <w:p w14:paraId="01260AC6" w14:textId="44B0DFB7" w:rsidR="00231553" w:rsidRPr="00876467" w:rsidRDefault="00231553" w:rsidP="003F2D41">
      <w:pPr>
        <w:spacing w:line="240" w:lineRule="auto"/>
        <w:jc w:val="both"/>
        <w:rPr>
          <w:rFonts w:ascii="Aptos Display" w:eastAsia="MS Mincho" w:hAnsi="Aptos Display" w:cstheme="minorHAnsi"/>
          <w:lang w:val="en-US"/>
        </w:rPr>
      </w:pPr>
      <w:r w:rsidRPr="00876467">
        <w:rPr>
          <w:rFonts w:ascii="Aptos Display" w:eastAsia="MS Mincho" w:hAnsi="Aptos Display" w:cstheme="minorHAnsi"/>
          <w:lang w:val="en-US"/>
        </w:rPr>
        <w:t xml:space="preserve">In Manyonyo the earlier feasibility studies were done </w:t>
      </w:r>
      <w:r w:rsidR="0063254D" w:rsidRPr="00876467">
        <w:rPr>
          <w:rFonts w:ascii="Aptos Display" w:eastAsia="MS Mincho" w:hAnsi="Aptos Display" w:cstheme="minorHAnsi"/>
          <w:lang w:val="en-US"/>
        </w:rPr>
        <w:t xml:space="preserve">more than 20 </w:t>
      </w:r>
      <w:r w:rsidRPr="00876467">
        <w:rPr>
          <w:rFonts w:ascii="Aptos Display" w:eastAsia="MS Mincho" w:hAnsi="Aptos Display" w:cstheme="minorHAnsi"/>
          <w:lang w:val="en-US"/>
        </w:rPr>
        <w:t xml:space="preserve">years ago, and both the data and the resulting reports are now outdated. The documentation is also not readily accessible, limiting its usefulness for current planning and investment decisions. Given the significant time lapse, changes in site conditions, evolving technical standards and updated environmental and social requirements, the existing studies can no longer be relied upon for design or procurement purposes. </w:t>
      </w:r>
    </w:p>
    <w:p w14:paraId="2B77F651" w14:textId="77777777" w:rsidR="00231553" w:rsidRPr="00876467" w:rsidRDefault="00231553" w:rsidP="003F2D41">
      <w:pPr>
        <w:spacing w:line="240" w:lineRule="auto"/>
        <w:jc w:val="both"/>
        <w:rPr>
          <w:rFonts w:ascii="Aptos Display" w:eastAsia="MS Mincho" w:hAnsi="Aptos Display" w:cstheme="minorHAnsi"/>
          <w:lang w:val="en-US"/>
        </w:rPr>
      </w:pPr>
      <w:r w:rsidRPr="00876467">
        <w:rPr>
          <w:rFonts w:ascii="Aptos Display" w:eastAsia="MS Mincho" w:hAnsi="Aptos Display" w:cstheme="minorHAnsi"/>
          <w:lang w:val="en-US"/>
        </w:rPr>
        <w:t>Therefore, there is a clear need to undertake fresh feasibility studies, including updated technical, environmental, social, financial, and economic assessments. These studies will form the basis for comprehensive detailed engineering designs, culminating in tender-ready bidding documents that meet current national and international standards.</w:t>
      </w:r>
    </w:p>
    <w:p w14:paraId="34315798" w14:textId="77777777" w:rsidR="00231553" w:rsidRPr="00876467" w:rsidRDefault="004D2B46" w:rsidP="003F2D41">
      <w:pPr>
        <w:keepNext/>
        <w:keepLines/>
        <w:tabs>
          <w:tab w:val="left" w:pos="567"/>
        </w:tabs>
        <w:spacing w:after="120" w:line="240" w:lineRule="auto"/>
        <w:jc w:val="both"/>
        <w:outlineLvl w:val="1"/>
        <w:rPr>
          <w:rFonts w:ascii="Aptos Display" w:eastAsia="MS Gothic" w:hAnsi="Aptos Display" w:cstheme="minorHAnsi"/>
          <w:b/>
          <w:bCs/>
          <w:color w:val="1F497D"/>
          <w:lang w:val="en-US"/>
        </w:rPr>
      </w:pPr>
      <w:r w:rsidRPr="00876467">
        <w:rPr>
          <w:rFonts w:ascii="Aptos Display" w:eastAsia="MS Gothic" w:hAnsi="Aptos Display" w:cstheme="minorHAnsi"/>
          <w:b/>
          <w:bCs/>
          <w:color w:val="1F497D"/>
          <w:lang w:val="en-US"/>
        </w:rPr>
        <w:t>T</w:t>
      </w:r>
      <w:r w:rsidR="00231553" w:rsidRPr="00876467">
        <w:rPr>
          <w:rFonts w:ascii="Aptos Display" w:eastAsia="MS Gothic" w:hAnsi="Aptos Display" w:cstheme="minorHAnsi"/>
          <w:b/>
          <w:bCs/>
          <w:color w:val="1F497D"/>
          <w:lang w:val="en-US"/>
        </w:rPr>
        <w:t>ask 4 – Feasibility study and detailed design for expansion of existing Magobo (Sugar Cane) Irrigation scheme.</w:t>
      </w:r>
    </w:p>
    <w:p w14:paraId="63FA4336" w14:textId="70F24E24" w:rsidR="00D266E2" w:rsidRPr="00876467" w:rsidRDefault="00231553" w:rsidP="003F2D41">
      <w:pPr>
        <w:pStyle w:val="ListParagraph"/>
        <w:widowControl w:val="0"/>
        <w:shd w:val="clear" w:color="auto" w:fill="FFFFFF"/>
        <w:ind w:left="0"/>
        <w:jc w:val="both"/>
        <w:rPr>
          <w:rFonts w:ascii="Aptos Display" w:hAnsi="Aptos Display" w:cstheme="minorHAnsi"/>
          <w:b/>
          <w:bCs/>
          <w:sz w:val="22"/>
          <w:szCs w:val="22"/>
        </w:rPr>
      </w:pPr>
      <w:r w:rsidRPr="00876467">
        <w:rPr>
          <w:rFonts w:ascii="Aptos Display" w:eastAsia="MS Mincho" w:hAnsi="Aptos Display" w:cstheme="minorHAnsi"/>
          <w:sz w:val="22"/>
          <w:szCs w:val="22"/>
        </w:rPr>
        <w:t xml:space="preserve">The key tasks </w:t>
      </w:r>
      <w:r w:rsidR="00681147" w:rsidRPr="00876467">
        <w:rPr>
          <w:rFonts w:ascii="Aptos Display" w:eastAsia="MS Mincho" w:hAnsi="Aptos Display" w:cstheme="minorHAnsi"/>
          <w:sz w:val="22"/>
          <w:szCs w:val="22"/>
        </w:rPr>
        <w:t>include undertaking d</w:t>
      </w:r>
      <w:r w:rsidRPr="00876467">
        <w:rPr>
          <w:rFonts w:ascii="Aptos Display" w:eastAsia="MS Mincho" w:hAnsi="Aptos Display" w:cstheme="minorHAnsi"/>
          <w:sz w:val="22"/>
          <w:szCs w:val="22"/>
        </w:rPr>
        <w:t>etailed feasibility studies for 450-ha expansion of the Magobo Irrigation Scheme managed under the Magobo Trust, in order to determine the technical, economic, environmental, and social viability of migrating from furrow irrigation to modern pressurized systems (drip, sprinkler or center pivot). The feasibility studies will also generate the necessary inputs for detailed engineering designs and tender-ready bidding documents that comply with national and international standards. Specifically, the following tasks are expected to be undertaken</w:t>
      </w:r>
      <w:r w:rsidR="0063254D" w:rsidRPr="00876467">
        <w:rPr>
          <w:rFonts w:ascii="Aptos Display" w:eastAsia="MS Mincho" w:hAnsi="Aptos Display" w:cstheme="minorHAnsi"/>
          <w:sz w:val="22"/>
          <w:szCs w:val="22"/>
        </w:rPr>
        <w:t>:</w:t>
      </w:r>
    </w:p>
    <w:p w14:paraId="12F160C6" w14:textId="77777777" w:rsidR="00D266E2" w:rsidRPr="00876467" w:rsidRDefault="00D266E2" w:rsidP="003F2D41">
      <w:pPr>
        <w:pStyle w:val="ListParagraph"/>
        <w:widowControl w:val="0"/>
        <w:shd w:val="clear" w:color="auto" w:fill="FFFFFF"/>
        <w:ind w:left="0"/>
        <w:jc w:val="both"/>
        <w:rPr>
          <w:rFonts w:ascii="Aptos Display" w:hAnsi="Aptos Display" w:cstheme="minorHAnsi"/>
          <w:b/>
          <w:bCs/>
          <w:sz w:val="22"/>
          <w:szCs w:val="22"/>
        </w:rPr>
      </w:pPr>
    </w:p>
    <w:p w14:paraId="511A482C" w14:textId="77777777" w:rsidR="00F45182" w:rsidRPr="00876467" w:rsidRDefault="00F45182" w:rsidP="003F2D41">
      <w:pPr>
        <w:keepNext/>
        <w:keepLines/>
        <w:tabs>
          <w:tab w:val="left" w:pos="567"/>
        </w:tabs>
        <w:spacing w:after="120" w:line="240" w:lineRule="auto"/>
        <w:jc w:val="both"/>
        <w:outlineLvl w:val="1"/>
        <w:rPr>
          <w:rFonts w:ascii="Aptos Display" w:eastAsia="MS Gothic" w:hAnsi="Aptos Display" w:cstheme="minorHAnsi"/>
          <w:b/>
          <w:bCs/>
          <w:color w:val="1F497D"/>
          <w:lang w:val="en-US"/>
        </w:rPr>
      </w:pPr>
      <w:r w:rsidRPr="00876467">
        <w:rPr>
          <w:rFonts w:ascii="Aptos Display" w:eastAsia="MS Gothic" w:hAnsi="Aptos Display" w:cstheme="minorHAnsi"/>
          <w:b/>
          <w:bCs/>
          <w:color w:val="1F497D"/>
          <w:lang w:val="en-US"/>
        </w:rPr>
        <w:t>Task 5 – Asset Registers, Operational and Maintenance Plans, and Estimated OPEX Costs and Irrigation Service Fees for all schemes</w:t>
      </w:r>
    </w:p>
    <w:p w14:paraId="784F9B52" w14:textId="77777777" w:rsidR="00EB0EC6" w:rsidRPr="00876467" w:rsidRDefault="00F45182" w:rsidP="003F2D41">
      <w:pPr>
        <w:pStyle w:val="ListParagraph"/>
        <w:widowControl w:val="0"/>
        <w:shd w:val="clear" w:color="auto" w:fill="FFFFFF"/>
        <w:ind w:left="0"/>
        <w:jc w:val="both"/>
        <w:rPr>
          <w:rFonts w:ascii="Aptos Display" w:hAnsi="Aptos Display" w:cstheme="minorHAnsi"/>
          <w:b/>
          <w:bCs/>
          <w:sz w:val="22"/>
          <w:szCs w:val="22"/>
        </w:rPr>
      </w:pPr>
      <w:r w:rsidRPr="00876467">
        <w:rPr>
          <w:rFonts w:ascii="Aptos Display" w:eastAsia="MS Mincho" w:hAnsi="Aptos Display" w:cstheme="minorHAnsi"/>
          <w:b/>
          <w:bCs/>
          <w:sz w:val="22"/>
          <w:szCs w:val="22"/>
        </w:rPr>
        <w:t>Asset register and layout plan:</w:t>
      </w:r>
      <w:r w:rsidRPr="00876467">
        <w:rPr>
          <w:rFonts w:ascii="Aptos Display" w:eastAsia="MS Mincho" w:hAnsi="Aptos Display" w:cstheme="minorHAnsi"/>
          <w:sz w:val="22"/>
          <w:szCs w:val="22"/>
        </w:rPr>
        <w:t xml:space="preserve"> A simple infrastructure asset register will be generated in EXCEL format and will be referenced to a user-friendly layout plan (prepared in both hardcopy and in Google Earth KMZ format).</w:t>
      </w:r>
    </w:p>
    <w:p w14:paraId="210682BD" w14:textId="77777777" w:rsidR="00F45182" w:rsidRPr="00876467" w:rsidRDefault="00F45182" w:rsidP="003F2D41">
      <w:pPr>
        <w:spacing w:line="240" w:lineRule="auto"/>
        <w:contextualSpacing/>
        <w:jc w:val="both"/>
        <w:rPr>
          <w:rFonts w:ascii="Aptos Display" w:eastAsia="MS Mincho" w:hAnsi="Aptos Display" w:cstheme="minorHAnsi"/>
          <w:b/>
          <w:bCs/>
          <w:lang w:val="en-US"/>
        </w:rPr>
      </w:pPr>
    </w:p>
    <w:p w14:paraId="11D26082" w14:textId="461B2CAC" w:rsidR="00F45182" w:rsidRPr="00876467" w:rsidRDefault="00F45182" w:rsidP="003F2D41">
      <w:pPr>
        <w:spacing w:line="240" w:lineRule="auto"/>
        <w:contextualSpacing/>
        <w:jc w:val="both"/>
        <w:rPr>
          <w:rFonts w:ascii="Aptos Display" w:eastAsia="MS Mincho" w:hAnsi="Aptos Display" w:cstheme="minorHAnsi"/>
          <w:lang w:val="en-US"/>
        </w:rPr>
      </w:pPr>
      <w:r w:rsidRPr="00876467">
        <w:rPr>
          <w:rFonts w:ascii="Aptos Display" w:eastAsia="MS Mincho" w:hAnsi="Aptos Display" w:cstheme="minorHAnsi"/>
          <w:b/>
          <w:bCs/>
          <w:lang w:val="en-US"/>
        </w:rPr>
        <w:t>The operational</w:t>
      </w:r>
      <w:r w:rsidR="008F7BAB" w:rsidRPr="00876467">
        <w:rPr>
          <w:rFonts w:ascii="Aptos Display" w:eastAsia="MS Mincho" w:hAnsi="Aptos Display" w:cstheme="minorHAnsi"/>
          <w:b/>
          <w:bCs/>
          <w:lang w:val="en-US"/>
        </w:rPr>
        <w:t xml:space="preserve"> and Maintenance</w:t>
      </w:r>
      <w:r w:rsidRPr="00876467">
        <w:rPr>
          <w:rFonts w:ascii="Aptos Display" w:eastAsia="MS Mincho" w:hAnsi="Aptos Display" w:cstheme="minorHAnsi"/>
          <w:b/>
          <w:bCs/>
          <w:lang w:val="en-US"/>
        </w:rPr>
        <w:t xml:space="preserve"> plan</w:t>
      </w:r>
      <w:r w:rsidRPr="00876467">
        <w:rPr>
          <w:rFonts w:ascii="Aptos Display" w:eastAsia="MS Mincho" w:hAnsi="Aptos Display" w:cstheme="minorHAnsi"/>
          <w:lang w:val="en-US"/>
        </w:rPr>
        <w:t xml:space="preserve"> will define the daily, weekly, and monthly operational activities for the duration of each irrigation season, including which party will be responsible for each operational action, how it will be monitored, and recorded</w:t>
      </w:r>
      <w:r w:rsidR="00681147" w:rsidRPr="00876467">
        <w:rPr>
          <w:rFonts w:ascii="Aptos Display" w:eastAsia="MS Mincho" w:hAnsi="Aptos Display" w:cstheme="minorHAnsi"/>
          <w:lang w:val="en-US"/>
        </w:rPr>
        <w:t>,</w:t>
      </w:r>
      <w:r w:rsidR="00256841" w:rsidRPr="00876467">
        <w:rPr>
          <w:rFonts w:ascii="Aptos Display" w:eastAsia="MS Mincho" w:hAnsi="Aptos Display" w:cstheme="minorHAnsi"/>
          <w:lang w:val="en-US"/>
        </w:rPr>
        <w:t xml:space="preserve"> among others.</w:t>
      </w:r>
      <w:r w:rsidR="008F7BAB" w:rsidRPr="00876467">
        <w:rPr>
          <w:rFonts w:ascii="Aptos Display" w:eastAsia="MS Mincho" w:hAnsi="Aptos Display" w:cstheme="minorHAnsi"/>
          <w:lang w:val="en-US"/>
        </w:rPr>
        <w:t xml:space="preserve"> Maintenance activities will also be clearly spelled out for sustainability of irrigation schemes.</w:t>
      </w:r>
    </w:p>
    <w:p w14:paraId="380FEEFC" w14:textId="77777777" w:rsidR="00C158B6" w:rsidRPr="00876467" w:rsidRDefault="00C158B6" w:rsidP="003F2D41">
      <w:pPr>
        <w:spacing w:line="240" w:lineRule="auto"/>
        <w:contextualSpacing/>
        <w:jc w:val="both"/>
        <w:rPr>
          <w:rFonts w:ascii="Aptos Display" w:eastAsia="MS Mincho" w:hAnsi="Aptos Display" w:cstheme="minorHAnsi"/>
          <w:lang w:val="en-US"/>
        </w:rPr>
      </w:pPr>
    </w:p>
    <w:p w14:paraId="3DD1D888" w14:textId="1DB02697" w:rsidR="00DB14B1" w:rsidRPr="00876467" w:rsidRDefault="008F7BAB" w:rsidP="003F2D41">
      <w:pPr>
        <w:spacing w:line="240" w:lineRule="auto"/>
        <w:contextualSpacing/>
        <w:jc w:val="both"/>
        <w:rPr>
          <w:rFonts w:ascii="Aptos Display" w:eastAsia="MS Mincho" w:hAnsi="Aptos Display" w:cstheme="minorHAnsi"/>
          <w:lang w:val="en-US"/>
        </w:rPr>
      </w:pPr>
      <w:r w:rsidRPr="00876467">
        <w:rPr>
          <w:rFonts w:ascii="Aptos Display" w:eastAsia="MS Mincho" w:hAnsi="Aptos Display" w:cstheme="minorHAnsi"/>
          <w:b/>
          <w:bCs/>
          <w:lang w:val="en-US"/>
        </w:rPr>
        <w:t>Estimated Operating Expenses</w:t>
      </w:r>
      <w:r w:rsidRPr="00876467">
        <w:rPr>
          <w:rFonts w:ascii="Aptos Display" w:eastAsia="MS Mincho" w:hAnsi="Aptos Display" w:cstheme="minorHAnsi"/>
          <w:lang w:val="en-US"/>
        </w:rPr>
        <w:t xml:space="preserve"> and Irrigation Service fees will be determined for planning and smooth operations of irrigation schemes.</w:t>
      </w:r>
    </w:p>
    <w:p w14:paraId="6E94AB0C" w14:textId="77777777" w:rsidR="008F7BAB" w:rsidRPr="00876467" w:rsidRDefault="008F7BAB" w:rsidP="003F2D41">
      <w:pPr>
        <w:spacing w:line="240" w:lineRule="auto"/>
        <w:contextualSpacing/>
        <w:jc w:val="both"/>
        <w:rPr>
          <w:rFonts w:ascii="Aptos Display" w:eastAsia="MS Mincho" w:hAnsi="Aptos Display" w:cstheme="minorHAnsi"/>
          <w:lang w:val="en-US"/>
        </w:rPr>
      </w:pPr>
    </w:p>
    <w:p w14:paraId="59A3A23F" w14:textId="77777777" w:rsidR="008F7BAB" w:rsidRPr="00876467" w:rsidRDefault="008F7BAB" w:rsidP="003F2D41">
      <w:pPr>
        <w:spacing w:line="240" w:lineRule="auto"/>
        <w:contextualSpacing/>
        <w:jc w:val="both"/>
        <w:rPr>
          <w:rFonts w:ascii="Aptos Display" w:eastAsia="MS Mincho" w:hAnsi="Aptos Display" w:cstheme="minorHAnsi"/>
          <w:lang w:val="en-US"/>
        </w:rPr>
      </w:pPr>
    </w:p>
    <w:p w14:paraId="7E6D1F13" w14:textId="77777777" w:rsidR="008F7BAB" w:rsidRPr="00876467" w:rsidRDefault="008F7BAB" w:rsidP="003F2D41">
      <w:pPr>
        <w:spacing w:line="240" w:lineRule="auto"/>
        <w:contextualSpacing/>
        <w:jc w:val="both"/>
        <w:rPr>
          <w:rFonts w:ascii="Aptos Display" w:eastAsia="MS Mincho" w:hAnsi="Aptos Display" w:cstheme="minorHAnsi"/>
          <w:lang w:val="en-US"/>
        </w:rPr>
      </w:pPr>
    </w:p>
    <w:p w14:paraId="4ECD1884" w14:textId="77777777" w:rsidR="00F7328D" w:rsidRPr="00876467" w:rsidRDefault="00F7328D" w:rsidP="003F2D41">
      <w:pPr>
        <w:spacing w:after="0" w:line="240" w:lineRule="auto"/>
        <w:contextualSpacing/>
        <w:jc w:val="both"/>
        <w:rPr>
          <w:rFonts w:ascii="Aptos Display" w:eastAsia="MS Mincho" w:hAnsi="Aptos Display" w:cstheme="minorHAnsi"/>
          <w:lang w:val="en-US"/>
        </w:rPr>
      </w:pPr>
    </w:p>
    <w:p w14:paraId="26AB1565" w14:textId="77777777" w:rsidR="00316083" w:rsidRPr="00876467" w:rsidRDefault="00316083" w:rsidP="00316083">
      <w:pPr>
        <w:spacing w:after="160" w:line="278" w:lineRule="auto"/>
        <w:jc w:val="both"/>
        <w:rPr>
          <w:rFonts w:ascii="Aptos Display" w:hAnsi="Aptos Display"/>
        </w:rPr>
      </w:pPr>
      <w:r w:rsidRPr="00876467">
        <w:rPr>
          <w:rFonts w:ascii="Aptos Display" w:hAnsi="Aptos Display"/>
        </w:rPr>
        <w:t xml:space="preserve">The </w:t>
      </w:r>
      <w:r w:rsidRPr="00876467">
        <w:rPr>
          <w:rFonts w:ascii="Aptos Display" w:hAnsi="Aptos Display" w:cstheme="minorHAnsi"/>
          <w:b/>
          <w:iCs/>
          <w:spacing w:val="-2"/>
        </w:rPr>
        <w:t>Coordinator and Deputy National Authorising Officer</w:t>
      </w:r>
      <w:r w:rsidRPr="00876467">
        <w:rPr>
          <w:rFonts w:ascii="Aptos Display" w:hAnsi="Aptos Display"/>
        </w:rPr>
        <w:t xml:space="preserve"> now invite eligible Consulting Firms (“Consultants”) to indicate their interest in providing the above Services. Interested consultants should provide information demonstrating that they have the required qualifications and relevant experience to perform the Services. The shortlisting criteria are:</w:t>
      </w:r>
    </w:p>
    <w:p w14:paraId="0C60845C" w14:textId="77777777" w:rsidR="00316083" w:rsidRPr="00876467" w:rsidRDefault="00316083" w:rsidP="00316083">
      <w:pPr>
        <w:numPr>
          <w:ilvl w:val="0"/>
          <w:numId w:val="36"/>
        </w:numPr>
        <w:spacing w:after="160" w:line="278" w:lineRule="auto"/>
        <w:jc w:val="both"/>
        <w:rPr>
          <w:rFonts w:ascii="Aptos Display" w:hAnsi="Aptos Display"/>
        </w:rPr>
      </w:pPr>
      <w:r w:rsidRPr="00876467">
        <w:rPr>
          <w:rFonts w:ascii="Aptos Display" w:hAnsi="Aptos Display"/>
        </w:rPr>
        <w:t>Core business of the firm and years in business.</w:t>
      </w:r>
    </w:p>
    <w:p w14:paraId="6DC26787" w14:textId="77777777" w:rsidR="00316083" w:rsidRPr="00876467" w:rsidRDefault="00316083" w:rsidP="00316083">
      <w:pPr>
        <w:numPr>
          <w:ilvl w:val="0"/>
          <w:numId w:val="36"/>
        </w:numPr>
        <w:spacing w:after="160" w:line="278" w:lineRule="auto"/>
        <w:jc w:val="both"/>
        <w:rPr>
          <w:rFonts w:ascii="Aptos Display" w:hAnsi="Aptos Display"/>
        </w:rPr>
      </w:pPr>
      <w:r w:rsidRPr="00876467">
        <w:rPr>
          <w:rFonts w:ascii="Aptos Display" w:hAnsi="Aptos Display"/>
        </w:rPr>
        <w:t>Experience in similar assignments in the last ten (10) years. Information to be provided should include name of assignment, name and full contact address of the Client, contract value (in equivalent US dollars) and period (dates) of execution of assignment and the role played in the assignment (Lead or JV Partner).</w:t>
      </w:r>
    </w:p>
    <w:p w14:paraId="560AA964" w14:textId="77777777" w:rsidR="00316083" w:rsidRPr="00876467" w:rsidRDefault="00316083" w:rsidP="00316083">
      <w:pPr>
        <w:numPr>
          <w:ilvl w:val="0"/>
          <w:numId w:val="36"/>
        </w:numPr>
        <w:spacing w:after="160" w:line="278" w:lineRule="auto"/>
        <w:jc w:val="both"/>
        <w:rPr>
          <w:rFonts w:ascii="Aptos Display" w:hAnsi="Aptos Display"/>
        </w:rPr>
      </w:pPr>
      <w:r w:rsidRPr="00876467">
        <w:rPr>
          <w:rFonts w:ascii="Aptos Display" w:hAnsi="Aptos Display"/>
        </w:rPr>
        <w:t>Experience in undertaking similar assignments in Africa or developing countries, and</w:t>
      </w:r>
    </w:p>
    <w:p w14:paraId="72114B33" w14:textId="77777777" w:rsidR="00316083" w:rsidRPr="00876467" w:rsidRDefault="00316083" w:rsidP="00316083">
      <w:pPr>
        <w:numPr>
          <w:ilvl w:val="0"/>
          <w:numId w:val="36"/>
        </w:numPr>
        <w:spacing w:after="160" w:line="278" w:lineRule="auto"/>
        <w:jc w:val="both"/>
        <w:rPr>
          <w:rFonts w:ascii="Aptos Display" w:hAnsi="Aptos Display"/>
        </w:rPr>
      </w:pPr>
      <w:r w:rsidRPr="00876467">
        <w:rPr>
          <w:rFonts w:ascii="Aptos Display" w:hAnsi="Aptos Display"/>
        </w:rPr>
        <w:t>The Technical and Managerial capability of the firm (provide only the structure of the organization, general qualifications and number of key staff. Do not provide CVs of staff. Key experts will not be evaluated at the shortlisting stage).</w:t>
      </w:r>
    </w:p>
    <w:p w14:paraId="1C7ED69F" w14:textId="77777777" w:rsidR="00316083" w:rsidRPr="00876467" w:rsidRDefault="00316083" w:rsidP="00316083">
      <w:pPr>
        <w:spacing w:after="160" w:line="278" w:lineRule="auto"/>
        <w:jc w:val="both"/>
        <w:rPr>
          <w:rFonts w:ascii="Aptos Display" w:hAnsi="Aptos Display"/>
        </w:rPr>
      </w:pPr>
      <w:r w:rsidRPr="00876467">
        <w:rPr>
          <w:rFonts w:ascii="Aptos Display" w:hAnsi="Aptos Display"/>
        </w:rPr>
        <w:t>The attention of interested Consultants is drawn to Section III, paragraphs, 3.14, 3.16, and 3.17 of the World Bank’s “Procurement Regulations for IPF Borrowers” Seventh Edition, September 2025 (“Procurement Regulations”), setting forth the World Bank’s Policy on Conflict of Interest.</w:t>
      </w:r>
    </w:p>
    <w:p w14:paraId="48FC453D" w14:textId="77777777" w:rsidR="00316083" w:rsidRPr="00876467" w:rsidRDefault="00316083" w:rsidP="00316083">
      <w:pPr>
        <w:spacing w:after="160" w:line="278" w:lineRule="auto"/>
        <w:jc w:val="both"/>
        <w:rPr>
          <w:rFonts w:ascii="Aptos Display" w:hAnsi="Aptos Display"/>
        </w:rPr>
      </w:pPr>
      <w:r w:rsidRPr="00876467">
        <w:rPr>
          <w:rFonts w:ascii="Aptos Display" w:hAnsi="Aptos Display"/>
        </w:rPr>
        <w:t>Consultants may associate with other firms to enhance their qualifications but should indicate clearly whether the association is in the form of a Joint Venture and/or a sub- consultancy. In the case of a Joint Venture, all the partners in the Joint Venture shall be jointly and severally liable for the entire contract, if selected. Therefore, each member of JV shall independently meet the requirements of the evaluation criteria. The experience, technical &amp; managerial capability of the Sub-Consultant shall not be evaluated to enhance the qualification of the Lead Firm or JV.</w:t>
      </w:r>
    </w:p>
    <w:p w14:paraId="10F906D6" w14:textId="77777777" w:rsidR="00316083" w:rsidRPr="00876467" w:rsidRDefault="00316083" w:rsidP="00316083">
      <w:pPr>
        <w:spacing w:after="160" w:line="278" w:lineRule="auto"/>
        <w:jc w:val="both"/>
        <w:rPr>
          <w:rFonts w:ascii="Aptos Display" w:hAnsi="Aptos Display"/>
        </w:rPr>
      </w:pPr>
      <w:r w:rsidRPr="00876467">
        <w:rPr>
          <w:rFonts w:ascii="Aptos Display" w:hAnsi="Aptos Display"/>
        </w:rPr>
        <w:t>A Consultant will be selected in accordance with the </w:t>
      </w:r>
      <w:r w:rsidRPr="00876467">
        <w:rPr>
          <w:rFonts w:ascii="Aptos Display" w:hAnsi="Aptos Display"/>
          <w:b/>
          <w:bCs/>
        </w:rPr>
        <w:t>Quality and Cost Based Selection (QCBS) Method </w:t>
      </w:r>
      <w:r w:rsidRPr="00876467">
        <w:rPr>
          <w:rFonts w:ascii="Aptos Display" w:hAnsi="Aptos Display"/>
        </w:rPr>
        <w:t>set out in the Procurement Regulations.</w:t>
      </w:r>
    </w:p>
    <w:p w14:paraId="68AFB0FB" w14:textId="77F108B8" w:rsidR="00735DDF" w:rsidRPr="00876467" w:rsidRDefault="00316083" w:rsidP="00316083">
      <w:pPr>
        <w:spacing w:after="160" w:line="278" w:lineRule="auto"/>
        <w:jc w:val="both"/>
        <w:rPr>
          <w:rFonts w:ascii="Aptos Display" w:eastAsia="Times New Roman" w:hAnsi="Aptos Display" w:cs="Times New Roman"/>
          <w:sz w:val="24"/>
          <w:szCs w:val="24"/>
          <w:lang w:eastAsia="en-GB"/>
        </w:rPr>
      </w:pPr>
      <w:r w:rsidRPr="00876467">
        <w:rPr>
          <w:rFonts w:ascii="Aptos Display" w:hAnsi="Aptos Display"/>
        </w:rPr>
        <w:t>Further information can be obtained at the address below during office hours from </w:t>
      </w:r>
      <w:r w:rsidRPr="00876467">
        <w:rPr>
          <w:rFonts w:ascii="Aptos Display" w:hAnsi="Aptos Display"/>
          <w:b/>
          <w:bCs/>
        </w:rPr>
        <w:t>08.00 to 17.00 hours </w:t>
      </w:r>
      <w:r w:rsidRPr="00876467">
        <w:rPr>
          <w:rFonts w:ascii="Aptos Display" w:hAnsi="Aptos Display"/>
        </w:rPr>
        <w:t>Local time Monday to Friday except public holidays.</w:t>
      </w:r>
      <w:r w:rsidR="0069638C" w:rsidRPr="00876467">
        <w:rPr>
          <w:rFonts w:ascii="Aptos Display" w:hAnsi="Aptos Display"/>
        </w:rPr>
        <w:t xml:space="preserve"> The </w:t>
      </w:r>
      <w:r w:rsidR="00DA59DC" w:rsidRPr="00876467">
        <w:rPr>
          <w:rFonts w:ascii="Aptos Display" w:hAnsi="Aptos Display"/>
        </w:rPr>
        <w:t>detailed Terms of R</w:t>
      </w:r>
      <w:r w:rsidR="00515F47">
        <w:rPr>
          <w:rFonts w:ascii="Aptos Display" w:hAnsi="Aptos Display"/>
        </w:rPr>
        <w:t xml:space="preserve">eference will be shared to the shortlisted </w:t>
      </w:r>
      <w:r w:rsidR="00393DE6">
        <w:rPr>
          <w:rFonts w:ascii="Aptos Display" w:hAnsi="Aptos Display"/>
        </w:rPr>
        <w:t xml:space="preserve">Consulting </w:t>
      </w:r>
      <w:r w:rsidR="00515F47">
        <w:rPr>
          <w:rFonts w:ascii="Aptos Display" w:hAnsi="Aptos Display"/>
        </w:rPr>
        <w:t>firms.</w:t>
      </w:r>
    </w:p>
    <w:p w14:paraId="46793DCB" w14:textId="07FF5013" w:rsidR="00316083" w:rsidRPr="00876467" w:rsidRDefault="00316083" w:rsidP="00316083">
      <w:pPr>
        <w:spacing w:after="160" w:line="278" w:lineRule="auto"/>
        <w:jc w:val="both"/>
        <w:rPr>
          <w:rFonts w:ascii="Aptos Display" w:hAnsi="Aptos Display"/>
        </w:rPr>
      </w:pPr>
      <w:r w:rsidRPr="00876467">
        <w:rPr>
          <w:rFonts w:ascii="Aptos Display" w:hAnsi="Aptos Display"/>
        </w:rPr>
        <w:t>Attention is drawn to the Procurement Regulations requiring the Borrower to disclose information on the successful Consultant’s beneficial ownership, as part of the Contract Award Notice, using the Beneficial Ownership Disclosure Form as included in the Request for Proposals.</w:t>
      </w:r>
    </w:p>
    <w:p w14:paraId="55311ED8" w14:textId="19FAFF0B" w:rsidR="00E6678B" w:rsidRPr="00876467" w:rsidRDefault="00316083" w:rsidP="00316083">
      <w:pPr>
        <w:spacing w:after="160" w:line="278" w:lineRule="auto"/>
        <w:jc w:val="both"/>
        <w:rPr>
          <w:rFonts w:ascii="Aptos Display" w:hAnsi="Aptos Display"/>
        </w:rPr>
      </w:pPr>
      <w:r w:rsidRPr="00876467">
        <w:rPr>
          <w:rFonts w:ascii="Aptos Display" w:hAnsi="Aptos Display"/>
        </w:rPr>
        <w:t>Expressions of interest must be delivered in a written form to the address below (in person, or by mail, or by fax, or by e-mail) by </w:t>
      </w:r>
      <w:r w:rsidR="004B5502">
        <w:rPr>
          <w:rFonts w:ascii="Aptos Display" w:hAnsi="Aptos Display"/>
          <w:b/>
          <w:bCs/>
        </w:rPr>
        <w:t>9</w:t>
      </w:r>
      <w:r w:rsidR="009C54D0" w:rsidRPr="00876467">
        <w:rPr>
          <w:rFonts w:ascii="Aptos Display" w:hAnsi="Aptos Display"/>
          <w:b/>
          <w:bCs/>
          <w:vertAlign w:val="superscript"/>
        </w:rPr>
        <w:t>th</w:t>
      </w:r>
      <w:r w:rsidR="009C54D0" w:rsidRPr="00876467">
        <w:rPr>
          <w:rFonts w:ascii="Aptos Display" w:hAnsi="Aptos Display"/>
          <w:b/>
          <w:bCs/>
        </w:rPr>
        <w:t xml:space="preserve"> </w:t>
      </w:r>
      <w:r w:rsidR="00BF7E6C" w:rsidRPr="00876467">
        <w:rPr>
          <w:rFonts w:ascii="Aptos Display" w:hAnsi="Aptos Display"/>
          <w:b/>
          <w:bCs/>
        </w:rPr>
        <w:t>June</w:t>
      </w:r>
      <w:r w:rsidR="009C54D0" w:rsidRPr="00876467">
        <w:rPr>
          <w:rFonts w:ascii="Aptos Display" w:hAnsi="Aptos Display"/>
          <w:b/>
          <w:bCs/>
        </w:rPr>
        <w:t xml:space="preserve">, </w:t>
      </w:r>
      <w:r w:rsidRPr="00876467">
        <w:rPr>
          <w:rFonts w:ascii="Aptos Display" w:hAnsi="Aptos Display"/>
          <w:b/>
          <w:bCs/>
        </w:rPr>
        <w:t xml:space="preserve">2026 at 10:00 Hours </w:t>
      </w:r>
      <w:r w:rsidR="008C50DB" w:rsidRPr="00876467">
        <w:rPr>
          <w:rFonts w:ascii="Aptos Display" w:hAnsi="Aptos Display"/>
          <w:b/>
          <w:bCs/>
        </w:rPr>
        <w:t>Central African</w:t>
      </w:r>
      <w:r w:rsidR="00EB5CC8" w:rsidRPr="00876467">
        <w:rPr>
          <w:rFonts w:ascii="Aptos Display" w:hAnsi="Aptos Display"/>
          <w:b/>
          <w:bCs/>
        </w:rPr>
        <w:t xml:space="preserve"> T</w:t>
      </w:r>
      <w:r w:rsidR="00DD6236" w:rsidRPr="00876467">
        <w:rPr>
          <w:rFonts w:ascii="Aptos Display" w:hAnsi="Aptos Display"/>
          <w:b/>
          <w:bCs/>
        </w:rPr>
        <w:t>ime</w:t>
      </w:r>
      <w:r w:rsidR="00930D9B" w:rsidRPr="00876467">
        <w:rPr>
          <w:rFonts w:ascii="Aptos Display" w:hAnsi="Aptos Display"/>
          <w:b/>
          <w:bCs/>
        </w:rPr>
        <w:t xml:space="preserve"> (</w:t>
      </w:r>
      <w:r w:rsidR="00EB5CC8" w:rsidRPr="00876467">
        <w:rPr>
          <w:rFonts w:ascii="Aptos Display" w:hAnsi="Aptos Display"/>
          <w:b/>
          <w:bCs/>
        </w:rPr>
        <w:t>+2hours GMT)</w:t>
      </w:r>
      <w:r w:rsidRPr="00876467">
        <w:rPr>
          <w:rFonts w:ascii="Aptos Display" w:hAnsi="Aptos Display"/>
          <w:b/>
          <w:bCs/>
        </w:rPr>
        <w:t>,</w:t>
      </w:r>
      <w:r w:rsidRPr="00876467">
        <w:rPr>
          <w:rFonts w:ascii="Aptos Display" w:hAnsi="Aptos Display"/>
        </w:rPr>
        <w:t> clearly marked “</w:t>
      </w:r>
      <w:r w:rsidRPr="00876467">
        <w:rPr>
          <w:rFonts w:ascii="Aptos Display" w:hAnsi="Aptos Display"/>
          <w:b/>
          <w:bCs/>
        </w:rPr>
        <w:t xml:space="preserve">EXPRESSION OF INTEREST FOR PROVISION OF CONSULTANCY SERVICES FOR </w:t>
      </w:r>
      <w:r w:rsidRPr="00876467">
        <w:rPr>
          <w:rFonts w:ascii="Aptos Display" w:eastAsia="Tahoma" w:hAnsi="Aptos Display" w:cstheme="minorHAnsi"/>
          <w:b/>
        </w:rPr>
        <w:t>CONDUCTING OF FEASIBILITY STUDIES, PREPARATION OF DETAILED DESIGNS AND BIDDING DOCUMENTS FOR THE PROPOSED ISAT PROJECT.</w:t>
      </w:r>
    </w:p>
    <w:p w14:paraId="3E36DA7A" w14:textId="1607CAD1" w:rsidR="00316083" w:rsidRPr="00876467" w:rsidRDefault="00316083" w:rsidP="00316083">
      <w:pPr>
        <w:spacing w:after="160" w:line="278" w:lineRule="auto"/>
        <w:jc w:val="both"/>
        <w:rPr>
          <w:rFonts w:ascii="Aptos Display" w:hAnsi="Aptos Display"/>
        </w:rPr>
      </w:pPr>
      <w:r w:rsidRPr="00876467">
        <w:rPr>
          <w:rFonts w:ascii="Aptos Display" w:hAnsi="Aptos Display"/>
        </w:rPr>
        <w:t xml:space="preserve">The firms that will submit their </w:t>
      </w:r>
      <w:r w:rsidR="00397A38" w:rsidRPr="00876467">
        <w:rPr>
          <w:rFonts w:ascii="Aptos Display" w:hAnsi="Aptos Display"/>
        </w:rPr>
        <w:t>EOI</w:t>
      </w:r>
      <w:r w:rsidRPr="00876467">
        <w:rPr>
          <w:rFonts w:ascii="Aptos Display" w:hAnsi="Aptos Display"/>
        </w:rPr>
        <w:t xml:space="preserve"> via e-mail must get confirmation of the receipt of their documents. In case the firm does not receive acknowledgement within two days after sending the documents via email they should call</w:t>
      </w:r>
      <w:r w:rsidR="00E8207A" w:rsidRPr="00876467">
        <w:rPr>
          <w:rFonts w:ascii="Aptos Display" w:hAnsi="Aptos Display"/>
        </w:rPr>
        <w:t xml:space="preserve"> the Project Manager</w:t>
      </w:r>
      <w:r w:rsidRPr="00876467">
        <w:rPr>
          <w:rFonts w:ascii="Aptos Display" w:hAnsi="Aptos Display"/>
        </w:rPr>
        <w:t xml:space="preserve"> +</w:t>
      </w:r>
      <w:r w:rsidR="002B0E75" w:rsidRPr="00876467">
        <w:rPr>
          <w:rFonts w:ascii="Aptos Display" w:hAnsi="Aptos Display"/>
        </w:rPr>
        <w:t>260 977319438</w:t>
      </w:r>
      <w:r w:rsidR="00261D64" w:rsidRPr="00876467">
        <w:rPr>
          <w:rFonts w:ascii="Aptos Display" w:hAnsi="Aptos Display"/>
        </w:rPr>
        <w:t xml:space="preserve"> </w:t>
      </w:r>
      <w:r w:rsidRPr="00876467">
        <w:rPr>
          <w:rFonts w:ascii="Aptos Display" w:hAnsi="Aptos Display"/>
        </w:rPr>
        <w:t>for follow-up.</w:t>
      </w:r>
      <w:r w:rsidR="00E6678B" w:rsidRPr="00876467">
        <w:rPr>
          <w:rFonts w:ascii="Aptos Display" w:hAnsi="Aptos Display"/>
        </w:rPr>
        <w:t xml:space="preserve"> </w:t>
      </w:r>
    </w:p>
    <w:p w14:paraId="59685B34" w14:textId="63C8CB64" w:rsidR="00316083" w:rsidRPr="00876467" w:rsidRDefault="00316083" w:rsidP="00316083">
      <w:pPr>
        <w:jc w:val="both"/>
        <w:rPr>
          <w:rFonts w:ascii="Aptos Display" w:hAnsi="Aptos Display"/>
        </w:rPr>
      </w:pPr>
      <w:r w:rsidRPr="00876467">
        <w:rPr>
          <w:rFonts w:ascii="Aptos Display" w:hAnsi="Aptos Display"/>
        </w:rPr>
        <w:lastRenderedPageBreak/>
        <w:t xml:space="preserve">The address referred above is: </w:t>
      </w:r>
    </w:p>
    <w:p w14:paraId="137FAE6A" w14:textId="77777777" w:rsidR="00316083" w:rsidRPr="00876467" w:rsidRDefault="00316083" w:rsidP="00316083">
      <w:pPr>
        <w:suppressAutoHyphens/>
        <w:spacing w:after="0" w:line="240" w:lineRule="auto"/>
        <w:jc w:val="both"/>
        <w:rPr>
          <w:rFonts w:ascii="Aptos Display" w:hAnsi="Aptos Display" w:cstheme="minorHAnsi"/>
          <w:b/>
          <w:spacing w:val="-2"/>
        </w:rPr>
      </w:pPr>
      <w:r w:rsidRPr="00876467">
        <w:rPr>
          <w:rFonts w:ascii="Aptos Display" w:hAnsi="Aptos Display" w:cstheme="minorHAnsi"/>
          <w:b/>
          <w:iCs/>
          <w:spacing w:val="-2"/>
        </w:rPr>
        <w:t xml:space="preserve">The </w:t>
      </w:r>
      <w:r w:rsidR="00D51815" w:rsidRPr="00876467">
        <w:rPr>
          <w:rFonts w:ascii="Aptos Display" w:hAnsi="Aptos Display" w:cstheme="minorHAnsi"/>
          <w:b/>
          <w:iCs/>
          <w:spacing w:val="-2"/>
        </w:rPr>
        <w:t>coordinator</w:t>
      </w:r>
      <w:r w:rsidRPr="00876467">
        <w:rPr>
          <w:rFonts w:ascii="Aptos Display" w:hAnsi="Aptos Display" w:cstheme="minorHAnsi"/>
          <w:b/>
          <w:iCs/>
          <w:spacing w:val="-2"/>
        </w:rPr>
        <w:t>; and Deputy National Authorising Officer</w:t>
      </w:r>
    </w:p>
    <w:p w14:paraId="2452C7CA" w14:textId="77777777" w:rsidR="00316083" w:rsidRPr="00876467" w:rsidRDefault="00316083" w:rsidP="00316083">
      <w:pPr>
        <w:suppressAutoHyphens/>
        <w:spacing w:after="0" w:line="240" w:lineRule="auto"/>
        <w:jc w:val="both"/>
        <w:rPr>
          <w:rFonts w:ascii="Aptos Display" w:hAnsi="Aptos Display" w:cstheme="minorHAnsi"/>
          <w:b/>
          <w:spacing w:val="-2"/>
        </w:rPr>
      </w:pPr>
      <w:r w:rsidRPr="00876467">
        <w:rPr>
          <w:rFonts w:ascii="Aptos Display" w:hAnsi="Aptos Display" w:cstheme="minorHAnsi"/>
          <w:b/>
          <w:spacing w:val="-2"/>
        </w:rPr>
        <w:t>National Authorising Office of the European Development Fund</w:t>
      </w:r>
    </w:p>
    <w:p w14:paraId="16C75B77" w14:textId="77777777" w:rsidR="00316083" w:rsidRPr="00876467" w:rsidRDefault="00316083" w:rsidP="00316083">
      <w:pPr>
        <w:suppressAutoHyphens/>
        <w:spacing w:after="0" w:line="240" w:lineRule="auto"/>
        <w:jc w:val="both"/>
        <w:rPr>
          <w:rFonts w:ascii="Aptos Display" w:hAnsi="Aptos Display" w:cstheme="minorHAnsi"/>
          <w:b/>
          <w:spacing w:val="-2"/>
        </w:rPr>
      </w:pPr>
      <w:r w:rsidRPr="00876467">
        <w:rPr>
          <w:rFonts w:ascii="Aptos Display" w:hAnsi="Aptos Display" w:cstheme="minorHAnsi"/>
          <w:b/>
          <w:spacing w:val="-2"/>
        </w:rPr>
        <w:t>Ministry of Finance and National Planning</w:t>
      </w:r>
    </w:p>
    <w:p w14:paraId="790C97DA" w14:textId="77777777" w:rsidR="00316083" w:rsidRPr="00876467" w:rsidRDefault="00316083" w:rsidP="00316083">
      <w:pPr>
        <w:suppressAutoHyphens/>
        <w:spacing w:after="0" w:line="240" w:lineRule="auto"/>
        <w:jc w:val="both"/>
        <w:rPr>
          <w:rFonts w:ascii="Aptos Display" w:hAnsi="Aptos Display" w:cstheme="minorHAnsi"/>
          <w:b/>
          <w:spacing w:val="-2"/>
        </w:rPr>
      </w:pPr>
      <w:r w:rsidRPr="00876467">
        <w:rPr>
          <w:rFonts w:ascii="Aptos Display" w:hAnsi="Aptos Display" w:cstheme="minorHAnsi"/>
          <w:b/>
          <w:spacing w:val="-2"/>
        </w:rPr>
        <w:t>Plot No. 488a/37/0/1/4, Lake Road, Kabulonga</w:t>
      </w:r>
    </w:p>
    <w:p w14:paraId="732A8C2A" w14:textId="77777777" w:rsidR="00316083" w:rsidRPr="00876467" w:rsidRDefault="00316083" w:rsidP="00316083">
      <w:pPr>
        <w:suppressAutoHyphens/>
        <w:spacing w:after="0" w:line="240" w:lineRule="auto"/>
        <w:jc w:val="both"/>
        <w:rPr>
          <w:rFonts w:ascii="Aptos Display" w:hAnsi="Aptos Display" w:cstheme="minorHAnsi"/>
          <w:b/>
          <w:spacing w:val="-2"/>
        </w:rPr>
      </w:pPr>
      <w:r w:rsidRPr="00876467">
        <w:rPr>
          <w:rFonts w:ascii="Aptos Display" w:hAnsi="Aptos Display" w:cstheme="minorHAnsi"/>
          <w:b/>
          <w:spacing w:val="-2"/>
        </w:rPr>
        <w:t>P.O. Box 50376</w:t>
      </w:r>
    </w:p>
    <w:p w14:paraId="42501EC5" w14:textId="77777777" w:rsidR="00316083" w:rsidRPr="00876467" w:rsidRDefault="00316083" w:rsidP="00316083">
      <w:pPr>
        <w:suppressAutoHyphens/>
        <w:spacing w:after="0" w:line="240" w:lineRule="auto"/>
        <w:jc w:val="both"/>
        <w:rPr>
          <w:rFonts w:ascii="Aptos Display" w:hAnsi="Aptos Display" w:cstheme="minorHAnsi"/>
          <w:b/>
          <w:spacing w:val="-2"/>
        </w:rPr>
      </w:pPr>
      <w:r w:rsidRPr="00876467">
        <w:rPr>
          <w:rFonts w:ascii="Aptos Display" w:hAnsi="Aptos Display" w:cstheme="minorHAnsi"/>
          <w:b/>
          <w:spacing w:val="-2"/>
        </w:rPr>
        <w:t>10101 Lusaka</w:t>
      </w:r>
    </w:p>
    <w:p w14:paraId="16B93A9E" w14:textId="77777777" w:rsidR="00316083" w:rsidRPr="00876467" w:rsidRDefault="00316083" w:rsidP="00316083">
      <w:pPr>
        <w:suppressAutoHyphens/>
        <w:spacing w:after="0" w:line="240" w:lineRule="auto"/>
        <w:jc w:val="both"/>
        <w:rPr>
          <w:rFonts w:ascii="Aptos Display" w:hAnsi="Aptos Display" w:cstheme="minorHAnsi"/>
          <w:b/>
          <w:spacing w:val="-2"/>
        </w:rPr>
      </w:pPr>
      <w:r w:rsidRPr="00876467">
        <w:rPr>
          <w:rFonts w:ascii="Aptos Display" w:hAnsi="Aptos Display" w:cstheme="minorHAnsi"/>
          <w:b/>
          <w:spacing w:val="-2"/>
        </w:rPr>
        <w:t>Zambia</w:t>
      </w:r>
    </w:p>
    <w:p w14:paraId="5B0A8B13" w14:textId="77777777" w:rsidR="00316083" w:rsidRPr="00876467" w:rsidRDefault="00316083" w:rsidP="00316083">
      <w:pPr>
        <w:suppressAutoHyphens/>
        <w:spacing w:after="0" w:line="240" w:lineRule="auto"/>
        <w:jc w:val="both"/>
        <w:rPr>
          <w:rStyle w:val="Hyperlink"/>
          <w:rFonts w:ascii="Aptos Display" w:hAnsi="Aptos Display" w:cstheme="minorHAnsi"/>
          <w:color w:val="auto"/>
          <w:spacing w:val="-2"/>
          <w:lang w:val="it-IT"/>
        </w:rPr>
      </w:pPr>
      <w:r w:rsidRPr="00876467">
        <w:rPr>
          <w:rFonts w:ascii="Aptos Display" w:hAnsi="Aptos Display" w:cstheme="minorHAnsi"/>
          <w:spacing w:val="-2"/>
          <w:lang w:val="it-IT"/>
        </w:rPr>
        <w:t xml:space="preserve">E-mail: </w:t>
      </w:r>
      <w:hyperlink r:id="rId9" w:history="1">
        <w:r w:rsidRPr="00876467">
          <w:rPr>
            <w:rStyle w:val="Hyperlink"/>
            <w:rFonts w:ascii="Aptos Display" w:hAnsi="Aptos Display" w:cstheme="minorHAnsi"/>
            <w:spacing w:val="-2"/>
            <w:lang w:val="it-IT"/>
          </w:rPr>
          <w:t>tenders.agriculture@nao.gov.zm</w:t>
        </w:r>
      </w:hyperlink>
    </w:p>
    <w:p w14:paraId="3E864346" w14:textId="77777777" w:rsidR="00316083" w:rsidRPr="00876467" w:rsidRDefault="00316083" w:rsidP="00316083">
      <w:pPr>
        <w:suppressAutoHyphens/>
        <w:spacing w:after="0" w:line="240" w:lineRule="auto"/>
        <w:jc w:val="both"/>
        <w:rPr>
          <w:rFonts w:ascii="Aptos Display" w:hAnsi="Aptos Display" w:cstheme="minorHAnsi"/>
          <w:spacing w:val="-2"/>
          <w:highlight w:val="yellow"/>
        </w:rPr>
      </w:pPr>
      <w:r w:rsidRPr="00876467">
        <w:rPr>
          <w:rFonts w:ascii="Aptos Display" w:hAnsi="Aptos Display" w:cstheme="minorHAnsi"/>
          <w:spacing w:val="-2"/>
        </w:rPr>
        <w:t>Tel: +260 211 250828 / 250828</w:t>
      </w:r>
    </w:p>
    <w:p w14:paraId="3FCFB96F" w14:textId="77777777" w:rsidR="00316083" w:rsidRPr="00876467" w:rsidRDefault="00316083" w:rsidP="00316083">
      <w:pPr>
        <w:spacing w:after="160" w:line="278" w:lineRule="auto"/>
        <w:jc w:val="both"/>
        <w:rPr>
          <w:rFonts w:ascii="Aptos Display" w:hAnsi="Aptos Display"/>
        </w:rPr>
      </w:pPr>
    </w:p>
    <w:p w14:paraId="1F09AB79" w14:textId="77777777" w:rsidR="00316083" w:rsidRPr="003F2D41" w:rsidRDefault="00316083" w:rsidP="00316083">
      <w:pPr>
        <w:pStyle w:val="NormalWeb"/>
        <w:spacing w:before="0" w:beforeAutospacing="0" w:after="0" w:afterAutospacing="0"/>
        <w:jc w:val="both"/>
        <w:rPr>
          <w:rFonts w:cstheme="minorHAnsi"/>
          <w:spacing w:val="-2"/>
          <w:highlight w:val="yellow"/>
        </w:rPr>
      </w:pPr>
    </w:p>
    <w:sectPr w:rsidR="00316083" w:rsidRPr="003F2D41" w:rsidSect="00572A7C">
      <w:footerReference w:type="even" r:id="rId10"/>
      <w:footerReference w:type="default" r:id="rId11"/>
      <w:footerReference w:type="first" r:id="rId12"/>
      <w:pgSz w:w="12240" w:h="15840"/>
      <w:pgMar w:top="270" w:right="1170"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AD132" w14:textId="77777777" w:rsidR="00EE568D" w:rsidRDefault="00EE568D" w:rsidP="00615E6F">
      <w:pPr>
        <w:spacing w:after="0" w:line="240" w:lineRule="auto"/>
      </w:pPr>
      <w:r>
        <w:separator/>
      </w:r>
    </w:p>
  </w:endnote>
  <w:endnote w:type="continuationSeparator" w:id="0">
    <w:p w14:paraId="0D627CF9" w14:textId="77777777" w:rsidR="00EE568D" w:rsidRDefault="00EE568D" w:rsidP="0061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A612" w14:textId="77777777" w:rsidR="00615E6F" w:rsidRDefault="00602635">
    <w:pPr>
      <w:pStyle w:val="Footer"/>
    </w:pPr>
    <w:r>
      <w:rPr>
        <w:noProof/>
      </w:rPr>
      <mc:AlternateContent>
        <mc:Choice Requires="wps">
          <w:drawing>
            <wp:anchor distT="0" distB="0" distL="0" distR="0" simplePos="0" relativeHeight="251659264" behindDoc="0" locked="0" layoutInCell="1" allowOverlap="1" wp14:anchorId="750BBD43" wp14:editId="30455E71">
              <wp:simplePos x="635" y="635"/>
              <wp:positionH relativeFrom="page">
                <wp:align>right</wp:align>
              </wp:positionH>
              <wp:positionV relativeFrom="page">
                <wp:align>bottom</wp:align>
              </wp:positionV>
              <wp:extent cx="930910" cy="368935"/>
              <wp:effectExtent l="0" t="0" r="0" b="0"/>
              <wp:wrapNone/>
              <wp:docPr id="1517706116"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323F1D93" w14:textId="77777777" w:rsidR="00602635" w:rsidRPr="00602635" w:rsidRDefault="00602635" w:rsidP="00602635">
                          <w:pPr>
                            <w:spacing w:after="0"/>
                            <w:rPr>
                              <w:rFonts w:ascii="Aptos" w:eastAsia="Aptos" w:hAnsi="Aptos" w:cs="Aptos"/>
                              <w:noProof/>
                              <w:color w:val="000000"/>
                              <w:sz w:val="20"/>
                              <w:szCs w:val="20"/>
                            </w:rPr>
                          </w:pPr>
                          <w:r w:rsidRPr="00602635">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50BBD43" id="_x0000_t202" coordsize="21600,21600" o:spt="202" path="m,l,21600r21600,l21600,xe">
              <v:stroke joinstyle="miter"/>
              <v:path gradientshapeok="t" o:connecttype="rect"/>
            </v:shapetype>
            <v:shape id="Text Box 2" o:spid="_x0000_s1026" type="#_x0000_t202" alt="Confidential" style="position:absolute;margin-left:22.1pt;margin-top:0;width:73.3pt;height:29.0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znbDwIAABoEAAAOAAAAZHJzL2Uyb0RvYy54bWysU8Fu2zAMvQ/YPwi6L3aSpWiMOEXWIsOA&#10;oC2QDj0rshQbkERBUmJnXz9KdpKt66nYRaZI+pF8fFrcdVqRo3C+AVPS8SinRBgOVWP2Jf35sv5y&#10;S4kPzFRMgRElPQlP75afPy1aW4gJ1KAq4QiCGF+0tqR1CLbIMs9roZkfgRUGgxKcZgGvbp9VjrWI&#10;rlU2yfObrAVXWQdceI/ehz5IlwlfSsHDk5ReBKJKir2FdLp07uKZLRes2Dtm64YPbbAPdKFZY7Do&#10;BeqBBUYOrvkHSjfcgQcZRhx0BlI2XKQZcJpx/maabc2sSLMgOd5eaPL/D5Y/Hrf22ZHQfYMOFxgJ&#10;aa0vPDrjPJ10On6xU4JxpPB0oU10gXB0zqf5fIwRjqHpze18Ooso2fVn63z4LkCTaJTU4VYSWey4&#10;8aFPPafEWgbWjVJpM8r85UDM6MmuHUYrdLtuaHsH1QmncdAv2lu+brDmhvnwzBxuFttEtYYnPKSC&#10;tqQwWJTU4H6954/5SDhGKWlRKSU1KGVK1A+Di4iiOhsuGZPZ1zxH9y7dxvN8Fm/moO8BRTjG92B5&#10;MtHrgjqb0oF+RTGvYjUMMcOxZkl3Z/M+9LrFx8DFapWSUESWhY3ZWh6hI1mRyZfulTk70B1wT49w&#10;1hIr3rDe58Y/vV0dAnKfVhKJ7dkc+EYBpqUOjyUq/M97yro+6eVvAAAA//8DAFBLAwQUAAYACAAA&#10;ACEAI/PRj9wAAAAEAQAADwAAAGRycy9kb3ducmV2LnhtbEyPwWrDMBBE74X+g9hCLyWRU1IRXMsh&#10;CfRQKIGmIbnK1tY2kVZGUhzn76v00l4Whhlm3hbL0Ro2oA+dIwmzaQYMqXa6o0bC/uttsgAWoiKt&#10;jCOUcMUAy/L+rlC5dhf6xGEXG5ZKKORKQhtjn3Me6hatClPXIyXv23mrYpK+4dqrSyq3hj9nmeBW&#10;dZQWWtXjpsX6tDtbCeuncKg+Tv76vp07cRw2wvRbIeXjw7h6BRZxjH9huOEndCgTU+XOpAMzEtIj&#10;8ffevLkQwCoJL4sZ8LLg/+HLHwAAAP//AwBQSwECLQAUAAYACAAAACEAtoM4kv4AAADhAQAAEwAA&#10;AAAAAAAAAAAAAAAAAAAAW0NvbnRlbnRfVHlwZXNdLnhtbFBLAQItABQABgAIAAAAIQA4/SH/1gAA&#10;AJQBAAALAAAAAAAAAAAAAAAAAC8BAABfcmVscy8ucmVsc1BLAQItABQABgAIAAAAIQBpTznbDwIA&#10;ABoEAAAOAAAAAAAAAAAAAAAAAC4CAABkcnMvZTJvRG9jLnhtbFBLAQItABQABgAIAAAAIQAj89GP&#10;3AAAAAQBAAAPAAAAAAAAAAAAAAAAAGkEAABkcnMvZG93bnJldi54bWxQSwUGAAAAAAQABADzAAAA&#10;cgUAAAAA&#10;" filled="f" stroked="f">
              <v:textbox style="mso-fit-shape-to-text:t" inset="0,0,20pt,15pt">
                <w:txbxContent>
                  <w:p w14:paraId="323F1D93" w14:textId="77777777" w:rsidR="00602635" w:rsidRPr="00602635" w:rsidRDefault="00602635" w:rsidP="00602635">
                    <w:pPr>
                      <w:spacing w:after="0"/>
                      <w:rPr>
                        <w:rFonts w:ascii="Aptos" w:eastAsia="Aptos" w:hAnsi="Aptos" w:cs="Aptos"/>
                        <w:noProof/>
                        <w:color w:val="000000"/>
                        <w:sz w:val="20"/>
                        <w:szCs w:val="20"/>
                      </w:rPr>
                    </w:pPr>
                    <w:r w:rsidRPr="00602635">
                      <w:rPr>
                        <w:rFonts w:ascii="Aptos" w:eastAsia="Aptos" w:hAnsi="Aptos" w:cs="Aptos"/>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1EE8" w14:textId="77777777" w:rsidR="00615E6F" w:rsidRDefault="00602635">
    <w:pPr>
      <w:pStyle w:val="Footer"/>
    </w:pPr>
    <w:r>
      <w:rPr>
        <w:noProof/>
      </w:rPr>
      <mc:AlternateContent>
        <mc:Choice Requires="wps">
          <w:drawing>
            <wp:anchor distT="0" distB="0" distL="0" distR="0" simplePos="0" relativeHeight="251660288" behindDoc="0" locked="0" layoutInCell="1" allowOverlap="1" wp14:anchorId="4A42C818" wp14:editId="6FC5A9FD">
              <wp:simplePos x="914400" y="9439154"/>
              <wp:positionH relativeFrom="page">
                <wp:align>right</wp:align>
              </wp:positionH>
              <wp:positionV relativeFrom="page">
                <wp:align>bottom</wp:align>
              </wp:positionV>
              <wp:extent cx="930910" cy="368935"/>
              <wp:effectExtent l="0" t="0" r="0" b="0"/>
              <wp:wrapNone/>
              <wp:docPr id="209677493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52698658" w14:textId="77777777" w:rsidR="00602635" w:rsidRPr="00602635" w:rsidRDefault="00602635" w:rsidP="00602635">
                          <w:pPr>
                            <w:spacing w:after="0"/>
                            <w:rPr>
                              <w:rFonts w:ascii="Aptos" w:eastAsia="Aptos" w:hAnsi="Aptos" w:cs="Aptos"/>
                              <w:noProof/>
                              <w:color w:val="000000"/>
                              <w:sz w:val="20"/>
                              <w:szCs w:val="20"/>
                            </w:rPr>
                          </w:pPr>
                          <w:r w:rsidRPr="00602635">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42C818" id="_x0000_t202" coordsize="21600,21600" o:spt="202" path="m,l,21600r21600,l21600,xe">
              <v:stroke joinstyle="miter"/>
              <v:path gradientshapeok="t" o:connecttype="rect"/>
            </v:shapetype>
            <v:shape id="Text Box 3" o:spid="_x0000_s1027" type="#_x0000_t202" alt="Confidential" style="position:absolute;margin-left:22.1pt;margin-top:0;width:73.3pt;height:29.0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6b+EQIAACEEAAAOAAAAZHJzL2Uyb0RvYy54bWysU99v2jAQfp+0/8Hy+0iAUZWIULFWTJNQ&#10;W4lOfTaOTSLZPss2JOyv39kJ0HZ7mvbinO8u9+P7Pi/uOq3IUTjfgCnpeJRTIgyHqjH7kv58WX+5&#10;pcQHZiqmwIiSnoSnd8vPnxatLcQEalCVcASLGF+0tqR1CLbIMs9roZkfgRUGgxKcZgGvbp9VjrVY&#10;Xatskuc3WQuusg648B69D32QLlN9KQUPT1J6EYgqKc4W0unSuYtntlywYu+YrRs+jMH+YQrNGoNN&#10;L6UeWGDk4Jo/SumGO/Agw4iDzkDKhou0A24zzj9ss62ZFWkXBMfbC0z+/5Xlj8etfXYkdN+gQwIj&#10;IK31hUdn3KeTTscvTkowjhCeLrCJLhCOzvk0n48xwjE0vbmdT2exSnb92TofvgvQJBoldchKAosd&#10;Nz70qeeU2MvAulEqMaPMOwfWjJ7sOmG0QrfrSFO9mX4H1QmXctDz7S1fN9h6w3x4Zg4JxmlRtOEJ&#10;D6mgLSkMFiU1uF9/88d8xB2jlLQomJIaVDQl6odBPqK2zoZLxmT2Nc/RvUu38TyfxZs56HtALY7x&#10;WVieTPS6oM6mdKBfUdOr2A1DzHDsWdLd2bwPvXzxTXCxWqUk1JJlYWO2lsfSEbMI6Ev3ypwdUA9I&#10;1yOcJcWKD+D3ufFPb1eHgBQkZiK+PZoD7KjDxO3wZqLQ395T1vVlL38DAAD//wMAUEsDBBQABgAI&#10;AAAAIQAj89GP3AAAAAQBAAAPAAAAZHJzL2Rvd25yZXYueG1sTI/BasMwEETvhf6D2EIvJZFTUhFc&#10;yyEJ9FAogaYhucrW1jaRVkZSHOfvq/TSXhaGGWbeFsvRGjagD50jCbNpBgypdrqjRsL+622yABai&#10;Iq2MI5RwxQDL8v6uULl2F/rEYRcblkoo5EpCG2Ofcx7qFq0KU9cjJe/beatikr7h2qtLKreGP2eZ&#10;4FZ1lBZa1eOmxfq0O1sJ66dwqD5O/vq+nTtxHDbC9Fsh5ePDuHoFFnGMf2G44Sd0KBNT5c6kAzMS&#10;0iPx9968uRDAKgkvixnwsuD/4csfAAAA//8DAFBLAQItABQABgAIAAAAIQC2gziS/gAAAOEBAAAT&#10;AAAAAAAAAAAAAAAAAAAAAABbQ29udGVudF9UeXBlc10ueG1sUEsBAi0AFAAGAAgAAAAhADj9If/W&#10;AAAAlAEAAAsAAAAAAAAAAAAAAAAALwEAAF9yZWxzLy5yZWxzUEsBAi0AFAAGAAgAAAAhAFdfpv4R&#10;AgAAIQQAAA4AAAAAAAAAAAAAAAAALgIAAGRycy9lMm9Eb2MueG1sUEsBAi0AFAAGAAgAAAAhACPz&#10;0Y/cAAAABAEAAA8AAAAAAAAAAAAAAAAAawQAAGRycy9kb3ducmV2LnhtbFBLBQYAAAAABAAEAPMA&#10;AAB0BQAAAAA=&#10;" filled="f" stroked="f">
              <v:textbox style="mso-fit-shape-to-text:t" inset="0,0,20pt,15pt">
                <w:txbxContent>
                  <w:p w14:paraId="52698658" w14:textId="77777777" w:rsidR="00602635" w:rsidRPr="00602635" w:rsidRDefault="00602635" w:rsidP="00602635">
                    <w:pPr>
                      <w:spacing w:after="0"/>
                      <w:rPr>
                        <w:rFonts w:ascii="Aptos" w:eastAsia="Aptos" w:hAnsi="Aptos" w:cs="Aptos"/>
                        <w:noProof/>
                        <w:color w:val="000000"/>
                        <w:sz w:val="20"/>
                        <w:szCs w:val="20"/>
                      </w:rPr>
                    </w:pPr>
                    <w:r w:rsidRPr="00602635">
                      <w:rPr>
                        <w:rFonts w:ascii="Aptos" w:eastAsia="Aptos" w:hAnsi="Aptos" w:cs="Aptos"/>
                        <w:noProof/>
                        <w:color w:val="000000"/>
                        <w:sz w:val="20"/>
                        <w:szCs w:val="20"/>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A6F1" w14:textId="77777777" w:rsidR="00615E6F" w:rsidRDefault="00602635">
    <w:pPr>
      <w:pStyle w:val="Footer"/>
    </w:pPr>
    <w:r>
      <w:rPr>
        <w:noProof/>
      </w:rPr>
      <mc:AlternateContent>
        <mc:Choice Requires="wps">
          <w:drawing>
            <wp:anchor distT="0" distB="0" distL="0" distR="0" simplePos="0" relativeHeight="251658240" behindDoc="0" locked="0" layoutInCell="1" allowOverlap="1" wp14:anchorId="19CEB20C" wp14:editId="70F8604D">
              <wp:simplePos x="635" y="635"/>
              <wp:positionH relativeFrom="page">
                <wp:align>right</wp:align>
              </wp:positionH>
              <wp:positionV relativeFrom="page">
                <wp:align>bottom</wp:align>
              </wp:positionV>
              <wp:extent cx="930910" cy="368935"/>
              <wp:effectExtent l="0" t="0" r="0" b="0"/>
              <wp:wrapNone/>
              <wp:docPr id="601809840"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30910" cy="368935"/>
                      </a:xfrm>
                      <a:prstGeom prst="rect">
                        <a:avLst/>
                      </a:prstGeom>
                      <a:noFill/>
                      <a:ln>
                        <a:noFill/>
                      </a:ln>
                    </wps:spPr>
                    <wps:txbx>
                      <w:txbxContent>
                        <w:p w14:paraId="66580209" w14:textId="77777777" w:rsidR="00602635" w:rsidRPr="00602635" w:rsidRDefault="00602635" w:rsidP="00602635">
                          <w:pPr>
                            <w:spacing w:after="0"/>
                            <w:rPr>
                              <w:rFonts w:ascii="Aptos" w:eastAsia="Aptos" w:hAnsi="Aptos" w:cs="Aptos"/>
                              <w:noProof/>
                              <w:color w:val="000000"/>
                              <w:sz w:val="20"/>
                              <w:szCs w:val="20"/>
                            </w:rPr>
                          </w:pPr>
                          <w:r w:rsidRPr="00602635">
                            <w:rPr>
                              <w:rFonts w:ascii="Aptos" w:eastAsia="Aptos" w:hAnsi="Aptos" w:cs="Aptos"/>
                              <w:noProof/>
                              <w:color w:val="000000"/>
                              <w:sz w:val="20"/>
                              <w:szCs w:val="20"/>
                            </w:rPr>
                            <w:t>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CEB20C" id="_x0000_t202" coordsize="21600,21600" o:spt="202" path="m,l,21600r21600,l21600,xe">
              <v:stroke joinstyle="miter"/>
              <v:path gradientshapeok="t" o:connecttype="rect"/>
            </v:shapetype>
            <v:shape id="Text Box 1" o:spid="_x0000_s1028" type="#_x0000_t202" alt="Confidential" style="position:absolute;margin-left:22.1pt;margin-top:0;width:73.3pt;height:29.0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VW8EwIAACEEAAAOAAAAZHJzL2Uyb0RvYy54bWysU99v2jAQfp+0/8Hy+0iAUZWIULFWTJNQ&#10;W4lOfTaOTSLZPss2JOyv39khsHV9qvbinO8u9+P7Pi/uOq3IUTjfgCnpeJRTIgyHqjH7kv58WX+5&#10;pcQHZiqmwIiSnoSnd8vPnxatLcQEalCVcASLGF+0tqR1CLbIMs9roZkfgRUGgxKcZgGvbp9VjrVY&#10;Xatskuc3WQuusg648B69D32QLlN9KQUPT1J6EYgqKc4W0unSuYtntlywYu+YrRt+HoN9YArNGoNN&#10;L6UeWGDk4Jp/SumGO/Agw4iDzkDKhou0A24zzt9ss62ZFWkXBMfbC0z+/5Xlj8etfXYkdN+gQwIj&#10;IK31hUdn3KeTTscvTkowjhCeLrCJLhCOzvk0n48xwjE0vbmdT2exSnb92TofvgvQJBoldchKAosd&#10;Nz70qUNK7GVg3SiVmFHmLwfWjJ7sOmG0QrfrSFOVdDJMv4PqhEs56Pn2lq8bbL1hPjwzhwTjtCja&#10;8ISHVNCWFM4WJTW4X+/5Yz7ijlFKWhRMSQ0qmhL1wyAfUVuD4ZIxmX3Nc3Tv0m08z2fxZg76HlCL&#10;Y3wWlicTvS6owZQO9CtqehW7YYgZjj1LuhvM+9DLF98EF6tVSkItWRY2Zmt5LB0xi4C+dK/M2TPq&#10;Ael6hEFSrHgDfp8b//R2dQhIQWIm4tujeYYddZi4Pb+ZKPQ/7ynr+rKXvwEAAP//AwBQSwMEFAAG&#10;AAgAAAAhACPz0Y/cAAAABAEAAA8AAABkcnMvZG93bnJldi54bWxMj8FqwzAQRO+F/oPYQi8lkVNS&#10;EVzLIQn0UCiBpiG5ytbWNpFWRlIc5++r9NJeFoYZZt4Wy9EaNqAPnSMJs2kGDKl2uqNGwv7rbbIA&#10;FqIirYwjlHDFAMvy/q5QuXYX+sRhFxuWSijkSkIbY59zHuoWrQpT1yMl79t5q2KSvuHaq0sqt4Y/&#10;Z5ngVnWUFlrV46bF+rQ7Wwnrp3CoPk7++r6dO3EcNsL0WyHl48O4egUWcYx/YbjhJ3QoE1PlzqQD&#10;MxLSI/H33ry5EMAqCS+LGfCy4P/hyx8AAAD//wMAUEsBAi0AFAAGAAgAAAAhALaDOJL+AAAA4QEA&#10;ABMAAAAAAAAAAAAAAAAAAAAAAFtDb250ZW50X1R5cGVzXS54bWxQSwECLQAUAAYACAAAACEAOP0h&#10;/9YAAACUAQAACwAAAAAAAAAAAAAAAAAvAQAAX3JlbHMvLnJlbHNQSwECLQAUAAYACAAAACEABslV&#10;vBMCAAAhBAAADgAAAAAAAAAAAAAAAAAuAgAAZHJzL2Uyb0RvYy54bWxQSwECLQAUAAYACAAAACEA&#10;I/PRj9wAAAAEAQAADwAAAAAAAAAAAAAAAABtBAAAZHJzL2Rvd25yZXYueG1sUEsFBgAAAAAEAAQA&#10;8wAAAHYFAAAAAA==&#10;" filled="f" stroked="f">
              <v:textbox style="mso-fit-shape-to-text:t" inset="0,0,20pt,15pt">
                <w:txbxContent>
                  <w:p w14:paraId="66580209" w14:textId="77777777" w:rsidR="00602635" w:rsidRPr="00602635" w:rsidRDefault="00602635" w:rsidP="00602635">
                    <w:pPr>
                      <w:spacing w:after="0"/>
                      <w:rPr>
                        <w:rFonts w:ascii="Aptos" w:eastAsia="Aptos" w:hAnsi="Aptos" w:cs="Aptos"/>
                        <w:noProof/>
                        <w:color w:val="000000"/>
                        <w:sz w:val="20"/>
                        <w:szCs w:val="20"/>
                      </w:rPr>
                    </w:pPr>
                    <w:r w:rsidRPr="00602635">
                      <w:rPr>
                        <w:rFonts w:ascii="Aptos" w:eastAsia="Aptos" w:hAnsi="Aptos" w:cs="Aptos"/>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B27BB" w14:textId="77777777" w:rsidR="00EE568D" w:rsidRDefault="00EE568D" w:rsidP="00615E6F">
      <w:pPr>
        <w:spacing w:after="0" w:line="240" w:lineRule="auto"/>
      </w:pPr>
      <w:r>
        <w:separator/>
      </w:r>
    </w:p>
  </w:footnote>
  <w:footnote w:type="continuationSeparator" w:id="0">
    <w:p w14:paraId="153AE89A" w14:textId="77777777" w:rsidR="00EE568D" w:rsidRDefault="00EE568D" w:rsidP="00615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903"/>
    <w:multiLevelType w:val="multilevel"/>
    <w:tmpl w:val="D220C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7B5A7A"/>
    <w:multiLevelType w:val="multilevel"/>
    <w:tmpl w:val="6862F868"/>
    <w:lvl w:ilvl="0">
      <w:start w:val="1"/>
      <w:numFmt w:val="bullet"/>
      <w:lvlText w:val=""/>
      <w:lvlJc w:val="left"/>
      <w:pPr>
        <w:tabs>
          <w:tab w:val="num" w:pos="1855"/>
        </w:tabs>
        <w:ind w:left="1855" w:hanging="360"/>
      </w:pPr>
      <w:rPr>
        <w:rFonts w:ascii="Symbol" w:hAnsi="Symbol" w:hint="default"/>
        <w:sz w:val="20"/>
      </w:rPr>
    </w:lvl>
    <w:lvl w:ilvl="1" w:tentative="1">
      <w:start w:val="1"/>
      <w:numFmt w:val="bullet"/>
      <w:lvlText w:val="o"/>
      <w:lvlJc w:val="left"/>
      <w:pPr>
        <w:tabs>
          <w:tab w:val="num" w:pos="2575"/>
        </w:tabs>
        <w:ind w:left="2575" w:hanging="360"/>
      </w:pPr>
      <w:rPr>
        <w:rFonts w:ascii="Courier New" w:hAnsi="Courier New" w:hint="default"/>
        <w:sz w:val="20"/>
      </w:rPr>
    </w:lvl>
    <w:lvl w:ilvl="2" w:tentative="1">
      <w:start w:val="1"/>
      <w:numFmt w:val="bullet"/>
      <w:lvlText w:val=""/>
      <w:lvlJc w:val="left"/>
      <w:pPr>
        <w:tabs>
          <w:tab w:val="num" w:pos="3295"/>
        </w:tabs>
        <w:ind w:left="3295" w:hanging="360"/>
      </w:pPr>
      <w:rPr>
        <w:rFonts w:ascii="Wingdings" w:hAnsi="Wingdings" w:hint="default"/>
        <w:sz w:val="20"/>
      </w:rPr>
    </w:lvl>
    <w:lvl w:ilvl="3" w:tentative="1">
      <w:start w:val="1"/>
      <w:numFmt w:val="bullet"/>
      <w:lvlText w:val=""/>
      <w:lvlJc w:val="left"/>
      <w:pPr>
        <w:tabs>
          <w:tab w:val="num" w:pos="4015"/>
        </w:tabs>
        <w:ind w:left="4015" w:hanging="360"/>
      </w:pPr>
      <w:rPr>
        <w:rFonts w:ascii="Wingdings" w:hAnsi="Wingdings" w:hint="default"/>
        <w:sz w:val="20"/>
      </w:rPr>
    </w:lvl>
    <w:lvl w:ilvl="4" w:tentative="1">
      <w:start w:val="1"/>
      <w:numFmt w:val="bullet"/>
      <w:lvlText w:val=""/>
      <w:lvlJc w:val="left"/>
      <w:pPr>
        <w:tabs>
          <w:tab w:val="num" w:pos="4735"/>
        </w:tabs>
        <w:ind w:left="4735" w:hanging="360"/>
      </w:pPr>
      <w:rPr>
        <w:rFonts w:ascii="Wingdings" w:hAnsi="Wingdings" w:hint="default"/>
        <w:sz w:val="20"/>
      </w:rPr>
    </w:lvl>
    <w:lvl w:ilvl="5" w:tentative="1">
      <w:start w:val="1"/>
      <w:numFmt w:val="bullet"/>
      <w:lvlText w:val=""/>
      <w:lvlJc w:val="left"/>
      <w:pPr>
        <w:tabs>
          <w:tab w:val="num" w:pos="5455"/>
        </w:tabs>
        <w:ind w:left="5455" w:hanging="360"/>
      </w:pPr>
      <w:rPr>
        <w:rFonts w:ascii="Wingdings" w:hAnsi="Wingdings" w:hint="default"/>
        <w:sz w:val="20"/>
      </w:rPr>
    </w:lvl>
    <w:lvl w:ilvl="6" w:tentative="1">
      <w:start w:val="1"/>
      <w:numFmt w:val="bullet"/>
      <w:lvlText w:val=""/>
      <w:lvlJc w:val="left"/>
      <w:pPr>
        <w:tabs>
          <w:tab w:val="num" w:pos="6175"/>
        </w:tabs>
        <w:ind w:left="6175" w:hanging="360"/>
      </w:pPr>
      <w:rPr>
        <w:rFonts w:ascii="Wingdings" w:hAnsi="Wingdings" w:hint="default"/>
        <w:sz w:val="20"/>
      </w:rPr>
    </w:lvl>
    <w:lvl w:ilvl="7" w:tentative="1">
      <w:start w:val="1"/>
      <w:numFmt w:val="bullet"/>
      <w:lvlText w:val=""/>
      <w:lvlJc w:val="left"/>
      <w:pPr>
        <w:tabs>
          <w:tab w:val="num" w:pos="6895"/>
        </w:tabs>
        <w:ind w:left="6895" w:hanging="360"/>
      </w:pPr>
      <w:rPr>
        <w:rFonts w:ascii="Wingdings" w:hAnsi="Wingdings" w:hint="default"/>
        <w:sz w:val="20"/>
      </w:rPr>
    </w:lvl>
    <w:lvl w:ilvl="8" w:tentative="1">
      <w:start w:val="1"/>
      <w:numFmt w:val="bullet"/>
      <w:lvlText w:val=""/>
      <w:lvlJc w:val="left"/>
      <w:pPr>
        <w:tabs>
          <w:tab w:val="num" w:pos="7615"/>
        </w:tabs>
        <w:ind w:left="7615" w:hanging="360"/>
      </w:pPr>
      <w:rPr>
        <w:rFonts w:ascii="Wingdings" w:hAnsi="Wingdings" w:hint="default"/>
        <w:sz w:val="20"/>
      </w:rPr>
    </w:lvl>
  </w:abstractNum>
  <w:abstractNum w:abstractNumId="2" w15:restartNumberingAfterBreak="0">
    <w:nsid w:val="08AE27AB"/>
    <w:multiLevelType w:val="hybridMultilevel"/>
    <w:tmpl w:val="F7B6A0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B296B"/>
    <w:multiLevelType w:val="hybridMultilevel"/>
    <w:tmpl w:val="36A60198"/>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EA1A87"/>
    <w:multiLevelType w:val="hybridMultilevel"/>
    <w:tmpl w:val="B4024C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5B2696"/>
    <w:multiLevelType w:val="hybridMultilevel"/>
    <w:tmpl w:val="DEAE6D2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021BBC"/>
    <w:multiLevelType w:val="hybridMultilevel"/>
    <w:tmpl w:val="D1A2B43C"/>
    <w:lvl w:ilvl="0" w:tplc="6606571A">
      <w:start w:val="1"/>
      <w:numFmt w:val="bullet"/>
      <w:lvlText w:val="-"/>
      <w:lvlJc w:val="left"/>
      <w:pPr>
        <w:ind w:left="630" w:hanging="360"/>
      </w:pPr>
      <w:rPr>
        <w:rFonts w:ascii="Calibri" w:eastAsiaTheme="minorEastAsia"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1D7F449B"/>
    <w:multiLevelType w:val="hybridMultilevel"/>
    <w:tmpl w:val="718C706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0A2055"/>
    <w:multiLevelType w:val="hybridMultilevel"/>
    <w:tmpl w:val="97D2BDD4"/>
    <w:lvl w:ilvl="0" w:tplc="179C195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037E0A"/>
    <w:multiLevelType w:val="hybridMultilevel"/>
    <w:tmpl w:val="428E9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63D66"/>
    <w:multiLevelType w:val="hybridMultilevel"/>
    <w:tmpl w:val="676CFB5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002120"/>
    <w:multiLevelType w:val="hybridMultilevel"/>
    <w:tmpl w:val="FFA06A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679CC"/>
    <w:multiLevelType w:val="hybridMultilevel"/>
    <w:tmpl w:val="BCA6D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738C4"/>
    <w:multiLevelType w:val="hybridMultilevel"/>
    <w:tmpl w:val="E6468BB2"/>
    <w:lvl w:ilvl="0" w:tplc="08090001">
      <w:start w:val="1"/>
      <w:numFmt w:val="bullet"/>
      <w:lvlText w:val=""/>
      <w:lvlJc w:val="left"/>
      <w:pPr>
        <w:ind w:left="795" w:hanging="360"/>
      </w:pPr>
      <w:rPr>
        <w:rFonts w:ascii="Symbol" w:hAnsi="Symbol"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4" w15:restartNumberingAfterBreak="0">
    <w:nsid w:val="2D1824D2"/>
    <w:multiLevelType w:val="multilevel"/>
    <w:tmpl w:val="70026574"/>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5" w15:restartNumberingAfterBreak="0">
    <w:nsid w:val="338778C8"/>
    <w:multiLevelType w:val="hybridMultilevel"/>
    <w:tmpl w:val="E0D4B4A0"/>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F0DC2"/>
    <w:multiLevelType w:val="multilevel"/>
    <w:tmpl w:val="DC322478"/>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7" w15:restartNumberingAfterBreak="0">
    <w:nsid w:val="37EF1CE6"/>
    <w:multiLevelType w:val="multilevel"/>
    <w:tmpl w:val="25D85772"/>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18" w15:restartNumberingAfterBreak="0">
    <w:nsid w:val="395411E7"/>
    <w:multiLevelType w:val="hybridMultilevel"/>
    <w:tmpl w:val="B0FE8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D406BD"/>
    <w:multiLevelType w:val="multilevel"/>
    <w:tmpl w:val="69764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41DEF"/>
    <w:multiLevelType w:val="multilevel"/>
    <w:tmpl w:val="0D8630C6"/>
    <w:lvl w:ilvl="0">
      <w:start w:val="1"/>
      <w:numFmt w:val="decimal"/>
      <w:pStyle w:val="Heading1"/>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E655EA1"/>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E86C1C"/>
    <w:multiLevelType w:val="hybridMultilevel"/>
    <w:tmpl w:val="0DA6E776"/>
    <w:lvl w:ilvl="0" w:tplc="69D8F5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D481AF6"/>
    <w:multiLevelType w:val="hybridMultilevel"/>
    <w:tmpl w:val="197E633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FA65AE9"/>
    <w:multiLevelType w:val="hybridMultilevel"/>
    <w:tmpl w:val="C27A3EB4"/>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20B483D"/>
    <w:multiLevelType w:val="hybridMultilevel"/>
    <w:tmpl w:val="FAA8A09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109AC"/>
    <w:multiLevelType w:val="hybridMultilevel"/>
    <w:tmpl w:val="93B6568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00F5DEE"/>
    <w:multiLevelType w:val="multilevel"/>
    <w:tmpl w:val="3B047B80"/>
    <w:lvl w:ilvl="0">
      <w:start w:val="1"/>
      <w:numFmt w:val="decimal"/>
      <w:lvlText w:val="%1."/>
      <w:lvlJc w:val="left"/>
      <w:pPr>
        <w:ind w:left="720" w:hanging="360"/>
      </w:pPr>
      <w:rPr>
        <w:rFonts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28" w15:restartNumberingAfterBreak="0">
    <w:nsid w:val="645F4BAB"/>
    <w:multiLevelType w:val="hybridMultilevel"/>
    <w:tmpl w:val="FFA06A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647144"/>
    <w:multiLevelType w:val="hybridMultilevel"/>
    <w:tmpl w:val="0C0A32B6"/>
    <w:lvl w:ilvl="0" w:tplc="D51669E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255E19"/>
    <w:multiLevelType w:val="multilevel"/>
    <w:tmpl w:val="EDAC968C"/>
    <w:lvl w:ilvl="0">
      <w:start w:val="1"/>
      <w:numFmt w:val="decimal"/>
      <w:lvlText w:val="%1."/>
      <w:lvlJc w:val="left"/>
      <w:pPr>
        <w:ind w:left="720" w:hanging="360"/>
      </w:p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31" w15:restartNumberingAfterBreak="0">
    <w:nsid w:val="66312B8C"/>
    <w:multiLevelType w:val="hybridMultilevel"/>
    <w:tmpl w:val="8C30B3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90390F"/>
    <w:multiLevelType w:val="multilevel"/>
    <w:tmpl w:val="6B0E79F4"/>
    <w:lvl w:ilvl="0">
      <w:start w:val="1"/>
      <w:numFmt w:val="bullet"/>
      <w:lvlText w:val=""/>
      <w:lvlJc w:val="left"/>
      <w:pPr>
        <w:ind w:left="720" w:hanging="360"/>
      </w:pPr>
      <w:rPr>
        <w:rFonts w:ascii="Symbol" w:hAnsi="Symbol" w:hint="default"/>
      </w:rPr>
    </w:lvl>
    <w:lvl w:ilvl="1">
      <w:numFmt w:val="decimal"/>
      <w:isLgl/>
      <w:lvlText w:val="%1.%2"/>
      <w:lvlJc w:val="left"/>
      <w:pPr>
        <w:ind w:left="1080" w:hanging="360"/>
      </w:pPr>
      <w:rPr>
        <w:rFonts w:hint="default"/>
        <w:b/>
        <w:color w:val="FF0000"/>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abstractNum w:abstractNumId="33" w15:restartNumberingAfterBreak="0">
    <w:nsid w:val="6A2A12B6"/>
    <w:multiLevelType w:val="hybridMultilevel"/>
    <w:tmpl w:val="B4024C3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3301EF"/>
    <w:multiLevelType w:val="hybridMultilevel"/>
    <w:tmpl w:val="24563AAC"/>
    <w:lvl w:ilvl="0" w:tplc="2D6C0E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44DE8"/>
    <w:multiLevelType w:val="multilevel"/>
    <w:tmpl w:val="11B008A0"/>
    <w:lvl w:ilvl="0">
      <w:start w:val="2"/>
      <w:numFmt w:val="decimal"/>
      <w:lvlText w:val="%1."/>
      <w:lvlJc w:val="left"/>
      <w:pPr>
        <w:ind w:left="720" w:hanging="360"/>
      </w:pPr>
      <w:rPr>
        <w:rFonts w:hint="default"/>
        <w:b/>
        <w:color w:val="auto"/>
      </w:rPr>
    </w:lvl>
    <w:lvl w:ilvl="1">
      <w:start w:val="1"/>
      <w:numFmt w:val="decimal"/>
      <w:isLgl/>
      <w:lvlText w:val="%1.%2"/>
      <w:lvlJc w:val="left"/>
      <w:pPr>
        <w:ind w:left="1080" w:hanging="360"/>
      </w:pPr>
      <w:rPr>
        <w:rFonts w:hint="default"/>
        <w:b/>
        <w:color w:val="auto"/>
      </w:rPr>
    </w:lvl>
    <w:lvl w:ilvl="2">
      <w:start w:val="1"/>
      <w:numFmt w:val="decimal"/>
      <w:isLgl/>
      <w:lvlText w:val="%1.%2.%3"/>
      <w:lvlJc w:val="left"/>
      <w:pPr>
        <w:ind w:left="1800" w:hanging="720"/>
      </w:pPr>
      <w:rPr>
        <w:rFonts w:hint="default"/>
        <w:b/>
        <w:color w:val="FF0000"/>
      </w:rPr>
    </w:lvl>
    <w:lvl w:ilvl="3">
      <w:start w:val="1"/>
      <w:numFmt w:val="decimal"/>
      <w:isLgl/>
      <w:lvlText w:val="%1.%2.%3.%4"/>
      <w:lvlJc w:val="left"/>
      <w:pPr>
        <w:ind w:left="2160" w:hanging="720"/>
      </w:pPr>
      <w:rPr>
        <w:rFonts w:hint="default"/>
        <w:b/>
        <w:color w:val="FF0000"/>
      </w:rPr>
    </w:lvl>
    <w:lvl w:ilvl="4">
      <w:start w:val="1"/>
      <w:numFmt w:val="decimal"/>
      <w:isLgl/>
      <w:lvlText w:val="%1.%2.%3.%4.%5"/>
      <w:lvlJc w:val="left"/>
      <w:pPr>
        <w:ind w:left="2880" w:hanging="1080"/>
      </w:pPr>
      <w:rPr>
        <w:rFonts w:hint="default"/>
        <w:b/>
        <w:color w:val="FF0000"/>
      </w:rPr>
    </w:lvl>
    <w:lvl w:ilvl="5">
      <w:start w:val="1"/>
      <w:numFmt w:val="decimal"/>
      <w:isLgl/>
      <w:lvlText w:val="%1.%2.%3.%4.%5.%6"/>
      <w:lvlJc w:val="left"/>
      <w:pPr>
        <w:ind w:left="3240" w:hanging="1080"/>
      </w:pPr>
      <w:rPr>
        <w:rFonts w:hint="default"/>
        <w:b/>
        <w:color w:val="FF0000"/>
      </w:rPr>
    </w:lvl>
    <w:lvl w:ilvl="6">
      <w:start w:val="1"/>
      <w:numFmt w:val="decimal"/>
      <w:isLgl/>
      <w:lvlText w:val="%1.%2.%3.%4.%5.%6.%7"/>
      <w:lvlJc w:val="left"/>
      <w:pPr>
        <w:ind w:left="3960" w:hanging="1440"/>
      </w:pPr>
      <w:rPr>
        <w:rFonts w:hint="default"/>
        <w:b/>
        <w:color w:val="FF0000"/>
      </w:rPr>
    </w:lvl>
    <w:lvl w:ilvl="7">
      <w:start w:val="1"/>
      <w:numFmt w:val="decimal"/>
      <w:isLgl/>
      <w:lvlText w:val="%1.%2.%3.%4.%5.%6.%7.%8"/>
      <w:lvlJc w:val="left"/>
      <w:pPr>
        <w:ind w:left="4320" w:hanging="1440"/>
      </w:pPr>
      <w:rPr>
        <w:rFonts w:hint="default"/>
        <w:b/>
        <w:color w:val="FF0000"/>
      </w:rPr>
    </w:lvl>
    <w:lvl w:ilvl="8">
      <w:start w:val="1"/>
      <w:numFmt w:val="decimal"/>
      <w:isLgl/>
      <w:lvlText w:val="%1.%2.%3.%4.%5.%6.%7.%8.%9"/>
      <w:lvlJc w:val="left"/>
      <w:pPr>
        <w:ind w:left="5040" w:hanging="1800"/>
      </w:pPr>
      <w:rPr>
        <w:rFonts w:hint="default"/>
        <w:b/>
        <w:color w:val="FF0000"/>
      </w:rPr>
    </w:lvl>
  </w:abstractNum>
  <w:num w:numId="1" w16cid:durableId="968163945">
    <w:abstractNumId w:val="19"/>
  </w:num>
  <w:num w:numId="2" w16cid:durableId="596452109">
    <w:abstractNumId w:val="1"/>
  </w:num>
  <w:num w:numId="3" w16cid:durableId="1887523936">
    <w:abstractNumId w:val="9"/>
  </w:num>
  <w:num w:numId="4" w16cid:durableId="1634217495">
    <w:abstractNumId w:val="22"/>
  </w:num>
  <w:num w:numId="5" w16cid:durableId="1279602820">
    <w:abstractNumId w:val="25"/>
  </w:num>
  <w:num w:numId="6" w16cid:durableId="342973971">
    <w:abstractNumId w:val="10"/>
  </w:num>
  <w:num w:numId="7" w16cid:durableId="840856375">
    <w:abstractNumId w:val="15"/>
  </w:num>
  <w:num w:numId="8" w16cid:durableId="1744713717">
    <w:abstractNumId w:val="13"/>
  </w:num>
  <w:num w:numId="9" w16cid:durableId="897127656">
    <w:abstractNumId w:val="17"/>
  </w:num>
  <w:num w:numId="10" w16cid:durableId="1279484349">
    <w:abstractNumId w:val="31"/>
  </w:num>
  <w:num w:numId="11" w16cid:durableId="834882262">
    <w:abstractNumId w:val="26"/>
  </w:num>
  <w:num w:numId="12" w16cid:durableId="1031031891">
    <w:abstractNumId w:val="34"/>
  </w:num>
  <w:num w:numId="13" w16cid:durableId="480118975">
    <w:abstractNumId w:val="5"/>
  </w:num>
  <w:num w:numId="14" w16cid:durableId="134415722">
    <w:abstractNumId w:val="11"/>
  </w:num>
  <w:num w:numId="15" w16cid:durableId="1798838517">
    <w:abstractNumId w:val="4"/>
  </w:num>
  <w:num w:numId="16" w16cid:durableId="1180898230">
    <w:abstractNumId w:val="33"/>
  </w:num>
  <w:num w:numId="17" w16cid:durableId="111562470">
    <w:abstractNumId w:val="21"/>
  </w:num>
  <w:num w:numId="18" w16cid:durableId="2901044">
    <w:abstractNumId w:val="28"/>
  </w:num>
  <w:num w:numId="19" w16cid:durableId="1563131577">
    <w:abstractNumId w:val="18"/>
  </w:num>
  <w:num w:numId="20" w16cid:durableId="1687246690">
    <w:abstractNumId w:val="29"/>
  </w:num>
  <w:num w:numId="21" w16cid:durableId="2027554958">
    <w:abstractNumId w:val="32"/>
  </w:num>
  <w:num w:numId="22" w16cid:durableId="62680729">
    <w:abstractNumId w:val="14"/>
  </w:num>
  <w:num w:numId="23" w16cid:durableId="1944805024">
    <w:abstractNumId w:val="16"/>
  </w:num>
  <w:num w:numId="24" w16cid:durableId="1659185249">
    <w:abstractNumId w:val="30"/>
  </w:num>
  <w:num w:numId="25" w16cid:durableId="1431047390">
    <w:abstractNumId w:val="27"/>
  </w:num>
  <w:num w:numId="26" w16cid:durableId="944728974">
    <w:abstractNumId w:val="35"/>
  </w:num>
  <w:num w:numId="27" w16cid:durableId="16809567">
    <w:abstractNumId w:val="7"/>
  </w:num>
  <w:num w:numId="28" w16cid:durableId="1585920638">
    <w:abstractNumId w:val="3"/>
  </w:num>
  <w:num w:numId="29" w16cid:durableId="2023506879">
    <w:abstractNumId w:val="23"/>
  </w:num>
  <w:num w:numId="30" w16cid:durableId="693655340">
    <w:abstractNumId w:val="24"/>
  </w:num>
  <w:num w:numId="31" w16cid:durableId="845561103">
    <w:abstractNumId w:val="12"/>
  </w:num>
  <w:num w:numId="32" w16cid:durableId="212155431">
    <w:abstractNumId w:val="8"/>
  </w:num>
  <w:num w:numId="33" w16cid:durableId="1763527781">
    <w:abstractNumId w:val="6"/>
  </w:num>
  <w:num w:numId="34" w16cid:durableId="1651638312">
    <w:abstractNumId w:val="20"/>
  </w:num>
  <w:num w:numId="35" w16cid:durableId="1783257905">
    <w:abstractNumId w:val="2"/>
  </w:num>
  <w:num w:numId="36" w16cid:durableId="479686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399"/>
    <w:rsid w:val="00014743"/>
    <w:rsid w:val="00027B20"/>
    <w:rsid w:val="00030898"/>
    <w:rsid w:val="0003770B"/>
    <w:rsid w:val="00042758"/>
    <w:rsid w:val="0004285C"/>
    <w:rsid w:val="000506C0"/>
    <w:rsid w:val="00054F8A"/>
    <w:rsid w:val="000935AB"/>
    <w:rsid w:val="000A40E5"/>
    <w:rsid w:val="000C4EE3"/>
    <w:rsid w:val="000C5841"/>
    <w:rsid w:val="000D4415"/>
    <w:rsid w:val="000D48F6"/>
    <w:rsid w:val="000D4C89"/>
    <w:rsid w:val="000E449B"/>
    <w:rsid w:val="000F2220"/>
    <w:rsid w:val="001015DA"/>
    <w:rsid w:val="001161A5"/>
    <w:rsid w:val="00123080"/>
    <w:rsid w:val="00153472"/>
    <w:rsid w:val="001549C1"/>
    <w:rsid w:val="001707ED"/>
    <w:rsid w:val="0017148B"/>
    <w:rsid w:val="00192272"/>
    <w:rsid w:val="00195541"/>
    <w:rsid w:val="001A3771"/>
    <w:rsid w:val="001A6ADD"/>
    <w:rsid w:val="001B210A"/>
    <w:rsid w:val="001B2758"/>
    <w:rsid w:val="001B53AD"/>
    <w:rsid w:val="001C4A51"/>
    <w:rsid w:val="001E0CB3"/>
    <w:rsid w:val="00200E07"/>
    <w:rsid w:val="002058E9"/>
    <w:rsid w:val="00211F81"/>
    <w:rsid w:val="00215110"/>
    <w:rsid w:val="00222D0F"/>
    <w:rsid w:val="002242DB"/>
    <w:rsid w:val="0023007A"/>
    <w:rsid w:val="00231326"/>
    <w:rsid w:val="00231553"/>
    <w:rsid w:val="002331F1"/>
    <w:rsid w:val="002411DF"/>
    <w:rsid w:val="00245263"/>
    <w:rsid w:val="0024560A"/>
    <w:rsid w:val="00256841"/>
    <w:rsid w:val="00257563"/>
    <w:rsid w:val="00261D64"/>
    <w:rsid w:val="00284B23"/>
    <w:rsid w:val="002944F3"/>
    <w:rsid w:val="00296D09"/>
    <w:rsid w:val="002A0AD5"/>
    <w:rsid w:val="002B0E75"/>
    <w:rsid w:val="002C54DE"/>
    <w:rsid w:val="002E32BB"/>
    <w:rsid w:val="002E557B"/>
    <w:rsid w:val="00300BFB"/>
    <w:rsid w:val="00315A58"/>
    <w:rsid w:val="00316083"/>
    <w:rsid w:val="003322A7"/>
    <w:rsid w:val="0034066D"/>
    <w:rsid w:val="003421B4"/>
    <w:rsid w:val="003629B8"/>
    <w:rsid w:val="00373FF1"/>
    <w:rsid w:val="00382DF8"/>
    <w:rsid w:val="00383CA6"/>
    <w:rsid w:val="00393023"/>
    <w:rsid w:val="00393DE6"/>
    <w:rsid w:val="00394943"/>
    <w:rsid w:val="00396377"/>
    <w:rsid w:val="00397A38"/>
    <w:rsid w:val="003A1757"/>
    <w:rsid w:val="003B7799"/>
    <w:rsid w:val="003D469F"/>
    <w:rsid w:val="003D4F72"/>
    <w:rsid w:val="003E5CE3"/>
    <w:rsid w:val="003E680C"/>
    <w:rsid w:val="003F2D41"/>
    <w:rsid w:val="003F5B2C"/>
    <w:rsid w:val="003F5E73"/>
    <w:rsid w:val="0040131B"/>
    <w:rsid w:val="00401E6B"/>
    <w:rsid w:val="004057DE"/>
    <w:rsid w:val="00411E1C"/>
    <w:rsid w:val="00423C0B"/>
    <w:rsid w:val="00444C51"/>
    <w:rsid w:val="004513BC"/>
    <w:rsid w:val="004578F5"/>
    <w:rsid w:val="00461348"/>
    <w:rsid w:val="00464256"/>
    <w:rsid w:val="0046710D"/>
    <w:rsid w:val="00474C14"/>
    <w:rsid w:val="004A3875"/>
    <w:rsid w:val="004A634A"/>
    <w:rsid w:val="004B5502"/>
    <w:rsid w:val="004C7B26"/>
    <w:rsid w:val="004D0464"/>
    <w:rsid w:val="004D1C11"/>
    <w:rsid w:val="004D2B46"/>
    <w:rsid w:val="00504670"/>
    <w:rsid w:val="00506FF2"/>
    <w:rsid w:val="00515F47"/>
    <w:rsid w:val="005300E9"/>
    <w:rsid w:val="0053716A"/>
    <w:rsid w:val="00537520"/>
    <w:rsid w:val="0053764D"/>
    <w:rsid w:val="00542155"/>
    <w:rsid w:val="00542D85"/>
    <w:rsid w:val="00542F8F"/>
    <w:rsid w:val="00562C4C"/>
    <w:rsid w:val="00572A7C"/>
    <w:rsid w:val="00582248"/>
    <w:rsid w:val="0059437A"/>
    <w:rsid w:val="00596E6B"/>
    <w:rsid w:val="005A5E2F"/>
    <w:rsid w:val="005B0C28"/>
    <w:rsid w:val="005B3181"/>
    <w:rsid w:val="005C035E"/>
    <w:rsid w:val="005C5BB4"/>
    <w:rsid w:val="005D0100"/>
    <w:rsid w:val="005D67E9"/>
    <w:rsid w:val="00602635"/>
    <w:rsid w:val="00605835"/>
    <w:rsid w:val="00615E6F"/>
    <w:rsid w:val="0062340B"/>
    <w:rsid w:val="006262F7"/>
    <w:rsid w:val="00631B04"/>
    <w:rsid w:val="0063254D"/>
    <w:rsid w:val="0063314A"/>
    <w:rsid w:val="00640F2C"/>
    <w:rsid w:val="006520D2"/>
    <w:rsid w:val="0065584E"/>
    <w:rsid w:val="00681147"/>
    <w:rsid w:val="00684DA2"/>
    <w:rsid w:val="0069638C"/>
    <w:rsid w:val="0069673C"/>
    <w:rsid w:val="00696B02"/>
    <w:rsid w:val="006C4F78"/>
    <w:rsid w:val="006C7194"/>
    <w:rsid w:val="007035CE"/>
    <w:rsid w:val="00725D61"/>
    <w:rsid w:val="007278E9"/>
    <w:rsid w:val="00732288"/>
    <w:rsid w:val="00735022"/>
    <w:rsid w:val="00735DDF"/>
    <w:rsid w:val="007565B7"/>
    <w:rsid w:val="007630EE"/>
    <w:rsid w:val="00763A74"/>
    <w:rsid w:val="007804B8"/>
    <w:rsid w:val="007859A9"/>
    <w:rsid w:val="00794666"/>
    <w:rsid w:val="007A7158"/>
    <w:rsid w:val="007D31E5"/>
    <w:rsid w:val="007D67B5"/>
    <w:rsid w:val="008012FB"/>
    <w:rsid w:val="00801ADD"/>
    <w:rsid w:val="0080551D"/>
    <w:rsid w:val="00824A55"/>
    <w:rsid w:val="00826135"/>
    <w:rsid w:val="00835D3E"/>
    <w:rsid w:val="00876467"/>
    <w:rsid w:val="00891D72"/>
    <w:rsid w:val="008947C2"/>
    <w:rsid w:val="008A25E6"/>
    <w:rsid w:val="008A51A7"/>
    <w:rsid w:val="008C2CD3"/>
    <w:rsid w:val="008C50DB"/>
    <w:rsid w:val="008C7672"/>
    <w:rsid w:val="008D1299"/>
    <w:rsid w:val="008D2345"/>
    <w:rsid w:val="008F2AD3"/>
    <w:rsid w:val="008F7BAB"/>
    <w:rsid w:val="009017C3"/>
    <w:rsid w:val="0092039D"/>
    <w:rsid w:val="00930D9B"/>
    <w:rsid w:val="00940CE5"/>
    <w:rsid w:val="0095437B"/>
    <w:rsid w:val="00964A3C"/>
    <w:rsid w:val="00964FB7"/>
    <w:rsid w:val="00967E79"/>
    <w:rsid w:val="009C3AD4"/>
    <w:rsid w:val="009C54D0"/>
    <w:rsid w:val="009E39DD"/>
    <w:rsid w:val="009E78B1"/>
    <w:rsid w:val="009F3C23"/>
    <w:rsid w:val="00A3507A"/>
    <w:rsid w:val="00A53551"/>
    <w:rsid w:val="00A60BAC"/>
    <w:rsid w:val="00A60D2C"/>
    <w:rsid w:val="00A63460"/>
    <w:rsid w:val="00A70D2D"/>
    <w:rsid w:val="00A87D9C"/>
    <w:rsid w:val="00AA3FB3"/>
    <w:rsid w:val="00AB4189"/>
    <w:rsid w:val="00AB482C"/>
    <w:rsid w:val="00AB49C7"/>
    <w:rsid w:val="00AB6D4A"/>
    <w:rsid w:val="00AB7EFD"/>
    <w:rsid w:val="00AC5FA7"/>
    <w:rsid w:val="00AD391B"/>
    <w:rsid w:val="00AE5729"/>
    <w:rsid w:val="00AF7463"/>
    <w:rsid w:val="00AF7BF6"/>
    <w:rsid w:val="00B04C6E"/>
    <w:rsid w:val="00B146AE"/>
    <w:rsid w:val="00B250F3"/>
    <w:rsid w:val="00B26100"/>
    <w:rsid w:val="00B342CD"/>
    <w:rsid w:val="00B4589A"/>
    <w:rsid w:val="00B473C0"/>
    <w:rsid w:val="00B5714C"/>
    <w:rsid w:val="00B74D8E"/>
    <w:rsid w:val="00B87E3C"/>
    <w:rsid w:val="00B9469C"/>
    <w:rsid w:val="00BA0911"/>
    <w:rsid w:val="00BA134D"/>
    <w:rsid w:val="00BB1846"/>
    <w:rsid w:val="00BB3B7C"/>
    <w:rsid w:val="00BB4F47"/>
    <w:rsid w:val="00BF38DE"/>
    <w:rsid w:val="00BF7E6C"/>
    <w:rsid w:val="00C158B6"/>
    <w:rsid w:val="00C467B5"/>
    <w:rsid w:val="00C471FA"/>
    <w:rsid w:val="00C515FE"/>
    <w:rsid w:val="00C56871"/>
    <w:rsid w:val="00C70AEA"/>
    <w:rsid w:val="00C750C8"/>
    <w:rsid w:val="00C87399"/>
    <w:rsid w:val="00CA6A0A"/>
    <w:rsid w:val="00CB46F5"/>
    <w:rsid w:val="00CC4DF9"/>
    <w:rsid w:val="00CC6A93"/>
    <w:rsid w:val="00CC7C76"/>
    <w:rsid w:val="00CD6D4A"/>
    <w:rsid w:val="00CD70A5"/>
    <w:rsid w:val="00CE4414"/>
    <w:rsid w:val="00CF4494"/>
    <w:rsid w:val="00CF79C0"/>
    <w:rsid w:val="00D14162"/>
    <w:rsid w:val="00D146EA"/>
    <w:rsid w:val="00D220A9"/>
    <w:rsid w:val="00D23899"/>
    <w:rsid w:val="00D260E7"/>
    <w:rsid w:val="00D266E2"/>
    <w:rsid w:val="00D36AE3"/>
    <w:rsid w:val="00D51815"/>
    <w:rsid w:val="00D54319"/>
    <w:rsid w:val="00D66C84"/>
    <w:rsid w:val="00D744B8"/>
    <w:rsid w:val="00D74CD9"/>
    <w:rsid w:val="00D8010D"/>
    <w:rsid w:val="00D9064B"/>
    <w:rsid w:val="00D918EF"/>
    <w:rsid w:val="00D94D31"/>
    <w:rsid w:val="00DA1060"/>
    <w:rsid w:val="00DA43B7"/>
    <w:rsid w:val="00DA59DC"/>
    <w:rsid w:val="00DB14B1"/>
    <w:rsid w:val="00DB2C7B"/>
    <w:rsid w:val="00DD6236"/>
    <w:rsid w:val="00DF7109"/>
    <w:rsid w:val="00E01210"/>
    <w:rsid w:val="00E0187E"/>
    <w:rsid w:val="00E13A3C"/>
    <w:rsid w:val="00E14436"/>
    <w:rsid w:val="00E3015F"/>
    <w:rsid w:val="00E3313A"/>
    <w:rsid w:val="00E43B24"/>
    <w:rsid w:val="00E65464"/>
    <w:rsid w:val="00E6678B"/>
    <w:rsid w:val="00E810B4"/>
    <w:rsid w:val="00E8207A"/>
    <w:rsid w:val="00E8422F"/>
    <w:rsid w:val="00E870B3"/>
    <w:rsid w:val="00EA10C6"/>
    <w:rsid w:val="00EB0EC6"/>
    <w:rsid w:val="00EB5CC8"/>
    <w:rsid w:val="00ED43C6"/>
    <w:rsid w:val="00ED5977"/>
    <w:rsid w:val="00EE568D"/>
    <w:rsid w:val="00EF02DD"/>
    <w:rsid w:val="00EF7581"/>
    <w:rsid w:val="00F00899"/>
    <w:rsid w:val="00F026D3"/>
    <w:rsid w:val="00F07A80"/>
    <w:rsid w:val="00F14902"/>
    <w:rsid w:val="00F45182"/>
    <w:rsid w:val="00F5710A"/>
    <w:rsid w:val="00F7328D"/>
    <w:rsid w:val="00FA0D7A"/>
    <w:rsid w:val="00FA4A0D"/>
    <w:rsid w:val="00FB2F6A"/>
    <w:rsid w:val="00FB6610"/>
    <w:rsid w:val="00FD12E6"/>
    <w:rsid w:val="00FE3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B2FF"/>
  <w15:docId w15:val="{B6FE5B21-0AC6-438E-AE55-0A68A8D8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23899"/>
    <w:pPr>
      <w:keepNext/>
      <w:keepLines/>
      <w:numPr>
        <w:numId w:val="34"/>
      </w:numPr>
      <w:spacing w:after="240"/>
      <w:ind w:left="284"/>
      <w:outlineLvl w:val="0"/>
    </w:pPr>
    <w:rPr>
      <w:rFonts w:asciiTheme="majorHAnsi" w:eastAsiaTheme="majorEastAsia" w:hAnsiTheme="majorHAnsi" w:cstheme="majorBidi"/>
      <w:b/>
      <w:bCs/>
      <w:color w:val="1F497D" w:themeColor="text2"/>
      <w:sz w:val="32"/>
      <w:szCs w:val="32"/>
      <w:lang w:val="en-US"/>
    </w:rPr>
  </w:style>
  <w:style w:type="paragraph" w:styleId="Heading2">
    <w:name w:val="heading 2"/>
    <w:basedOn w:val="Normal"/>
    <w:next w:val="Normal"/>
    <w:link w:val="Heading2Char"/>
    <w:autoRedefine/>
    <w:uiPriority w:val="9"/>
    <w:unhideWhenUsed/>
    <w:qFormat/>
    <w:rsid w:val="00D23899"/>
    <w:pPr>
      <w:keepNext/>
      <w:keepLines/>
      <w:tabs>
        <w:tab w:val="left" w:pos="567"/>
      </w:tabs>
      <w:spacing w:after="120"/>
      <w:jc w:val="both"/>
      <w:outlineLvl w:val="1"/>
    </w:pPr>
    <w:rPr>
      <w:rFonts w:asciiTheme="majorHAnsi" w:eastAsiaTheme="majorEastAsia" w:hAnsiTheme="majorHAnsi" w:cstheme="majorBidi"/>
      <w:b/>
      <w:bCs/>
      <w:color w:val="1F497D" w:themeColor="text2"/>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3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87399"/>
    <w:rPr>
      <w:b/>
      <w:bCs/>
    </w:rPr>
  </w:style>
  <w:style w:type="paragraph" w:styleId="Revision">
    <w:name w:val="Revision"/>
    <w:hidden/>
    <w:uiPriority w:val="99"/>
    <w:semiHidden/>
    <w:rsid w:val="00615E6F"/>
    <w:pPr>
      <w:spacing w:after="0" w:line="240" w:lineRule="auto"/>
    </w:pPr>
    <w:rPr>
      <w:lang w:val="en-GB"/>
    </w:rPr>
  </w:style>
  <w:style w:type="paragraph" w:styleId="Footer">
    <w:name w:val="footer"/>
    <w:basedOn w:val="Normal"/>
    <w:link w:val="FooterChar"/>
    <w:uiPriority w:val="99"/>
    <w:unhideWhenUsed/>
    <w:rsid w:val="00615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5E6F"/>
    <w:rPr>
      <w:lang w:val="en-GB"/>
    </w:rPr>
  </w:style>
  <w:style w:type="paragraph" w:styleId="BalloonText">
    <w:name w:val="Balloon Text"/>
    <w:basedOn w:val="Normal"/>
    <w:link w:val="BalloonTextChar"/>
    <w:uiPriority w:val="99"/>
    <w:semiHidden/>
    <w:unhideWhenUsed/>
    <w:rsid w:val="008F2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2AD3"/>
    <w:rPr>
      <w:rFonts w:ascii="Segoe UI" w:hAnsi="Segoe UI" w:cs="Segoe UI"/>
      <w:sz w:val="18"/>
      <w:szCs w:val="18"/>
      <w:lang w:val="en-GB"/>
    </w:rPr>
  </w:style>
  <w:style w:type="paragraph" w:styleId="NoSpacing">
    <w:name w:val="No Spacing"/>
    <w:link w:val="NoSpacingChar"/>
    <w:uiPriority w:val="1"/>
    <w:qFormat/>
    <w:rsid w:val="00CC7C76"/>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CC7C76"/>
    <w:rPr>
      <w:rFonts w:ascii="Calibri" w:eastAsia="Calibri" w:hAnsi="Calibri" w:cs="Times New Roman"/>
    </w:rPr>
  </w:style>
  <w:style w:type="paragraph" w:styleId="ListParagraph">
    <w:name w:val="List Paragraph"/>
    <w:aliases w:val="Bullets,List Paragraph (numbered (a)),Liste 1,Numbered List Paragraph,References,ReferencesCxSpLast,Medium Grid 1 - Accent 21,List Paragraph nowy,ADB paragraph numbering,LIST OF TABLES.,List Paragraph1,List Bullet Mary,Akapit z listą BS"/>
    <w:basedOn w:val="Normal"/>
    <w:link w:val="ListParagraphChar"/>
    <w:uiPriority w:val="34"/>
    <w:qFormat/>
    <w:rsid w:val="00CC7C76"/>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Bullets Char,List Paragraph (numbered (a)) Char,Liste 1 Char,Numbered List Paragraph Char,References Char,ReferencesCxSpLast Char,Medium Grid 1 - Accent 21 Char,List Paragraph nowy Char,ADB paragraph numbering Char"/>
    <w:link w:val="ListParagraph"/>
    <w:uiPriority w:val="34"/>
    <w:qFormat/>
    <w:locked/>
    <w:rsid w:val="00CC7C7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E449B"/>
    <w:rPr>
      <w:color w:val="0000FF" w:themeColor="hyperlink"/>
      <w:u w:val="single"/>
    </w:rPr>
  </w:style>
  <w:style w:type="character" w:customStyle="1" w:styleId="UnresolvedMention1">
    <w:name w:val="Unresolved Mention1"/>
    <w:basedOn w:val="DefaultParagraphFont"/>
    <w:uiPriority w:val="99"/>
    <w:semiHidden/>
    <w:unhideWhenUsed/>
    <w:rsid w:val="000E449B"/>
    <w:rPr>
      <w:color w:val="605E5C"/>
      <w:shd w:val="clear" w:color="auto" w:fill="E1DFDD"/>
    </w:rPr>
  </w:style>
  <w:style w:type="table" w:styleId="TableGrid">
    <w:name w:val="Table Grid"/>
    <w:basedOn w:val="TableNormal"/>
    <w:uiPriority w:val="59"/>
    <w:rsid w:val="00572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4666"/>
    <w:rPr>
      <w:color w:val="800080" w:themeColor="followedHyperlink"/>
      <w:u w:val="single"/>
    </w:rPr>
  </w:style>
  <w:style w:type="character" w:customStyle="1" w:styleId="Heading1Char">
    <w:name w:val="Heading 1 Char"/>
    <w:basedOn w:val="DefaultParagraphFont"/>
    <w:link w:val="Heading1"/>
    <w:uiPriority w:val="9"/>
    <w:rsid w:val="00D23899"/>
    <w:rPr>
      <w:rFonts w:asciiTheme="majorHAnsi" w:eastAsiaTheme="majorEastAsia" w:hAnsiTheme="majorHAnsi" w:cstheme="majorBidi"/>
      <w:b/>
      <w:bCs/>
      <w:color w:val="1F497D" w:themeColor="text2"/>
      <w:sz w:val="32"/>
      <w:szCs w:val="32"/>
    </w:rPr>
  </w:style>
  <w:style w:type="character" w:customStyle="1" w:styleId="Heading2Char">
    <w:name w:val="Heading 2 Char"/>
    <w:basedOn w:val="DefaultParagraphFont"/>
    <w:link w:val="Heading2"/>
    <w:uiPriority w:val="9"/>
    <w:rsid w:val="00D23899"/>
    <w:rPr>
      <w:rFonts w:asciiTheme="majorHAnsi" w:eastAsiaTheme="majorEastAsia" w:hAnsiTheme="majorHAnsi" w:cstheme="majorBidi"/>
      <w:b/>
      <w:bCs/>
      <w:color w:val="1F497D" w:themeColor="text2"/>
      <w:sz w:val="28"/>
      <w:szCs w:val="28"/>
    </w:rPr>
  </w:style>
  <w:style w:type="paragraph" w:styleId="Title">
    <w:name w:val="Title"/>
    <w:basedOn w:val="Normal"/>
    <w:next w:val="Normal"/>
    <w:link w:val="TitleChar"/>
    <w:uiPriority w:val="10"/>
    <w:qFormat/>
    <w:rsid w:val="00D2389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D23899"/>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2944F3"/>
    <w:rPr>
      <w:sz w:val="16"/>
      <w:szCs w:val="16"/>
    </w:rPr>
  </w:style>
  <w:style w:type="paragraph" w:styleId="CommentText">
    <w:name w:val="annotation text"/>
    <w:basedOn w:val="Normal"/>
    <w:link w:val="CommentTextChar"/>
    <w:uiPriority w:val="99"/>
    <w:unhideWhenUsed/>
    <w:rsid w:val="002944F3"/>
    <w:pPr>
      <w:spacing w:line="240" w:lineRule="auto"/>
    </w:pPr>
    <w:rPr>
      <w:sz w:val="20"/>
      <w:szCs w:val="20"/>
    </w:rPr>
  </w:style>
  <w:style w:type="character" w:customStyle="1" w:styleId="CommentTextChar">
    <w:name w:val="Comment Text Char"/>
    <w:basedOn w:val="DefaultParagraphFont"/>
    <w:link w:val="CommentText"/>
    <w:uiPriority w:val="99"/>
    <w:rsid w:val="002944F3"/>
    <w:rPr>
      <w:sz w:val="20"/>
      <w:szCs w:val="20"/>
      <w:lang w:val="en-GB"/>
    </w:rPr>
  </w:style>
  <w:style w:type="paragraph" w:styleId="CommentSubject">
    <w:name w:val="annotation subject"/>
    <w:basedOn w:val="CommentText"/>
    <w:next w:val="CommentText"/>
    <w:link w:val="CommentSubjectChar"/>
    <w:uiPriority w:val="99"/>
    <w:semiHidden/>
    <w:unhideWhenUsed/>
    <w:rsid w:val="002944F3"/>
    <w:rPr>
      <w:b/>
      <w:bCs/>
    </w:rPr>
  </w:style>
  <w:style w:type="character" w:customStyle="1" w:styleId="CommentSubjectChar">
    <w:name w:val="Comment Subject Char"/>
    <w:basedOn w:val="CommentTextChar"/>
    <w:link w:val="CommentSubject"/>
    <w:uiPriority w:val="99"/>
    <w:semiHidden/>
    <w:rsid w:val="002944F3"/>
    <w:rPr>
      <w:b/>
      <w:bCs/>
      <w:sz w:val="20"/>
      <w:szCs w:val="20"/>
      <w:lang w:val="en-GB"/>
    </w:rPr>
  </w:style>
  <w:style w:type="character" w:styleId="UnresolvedMention">
    <w:name w:val="Unresolved Mention"/>
    <w:basedOn w:val="DefaultParagraphFont"/>
    <w:uiPriority w:val="99"/>
    <w:semiHidden/>
    <w:unhideWhenUsed/>
    <w:rsid w:val="00C15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13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enders.agriculture@nao.gov.zm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3B4A0-2EE8-4690-B0E9-618E86680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Thomas Simfukwe</cp:lastModifiedBy>
  <cp:revision>11</cp:revision>
  <cp:lastPrinted>2025-12-17T12:47:00Z</cp:lastPrinted>
  <dcterms:created xsi:type="dcterms:W3CDTF">2026-05-15T11:15:00Z</dcterms:created>
  <dcterms:modified xsi:type="dcterms:W3CDTF">2026-05-26T14:42:00Z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23dee3b0,5a765b84,7cfa3f12</vt:lpwstr>
  </property>
  <property fmtid="{D5CDD505-2E9C-101B-9397-08002B2CF9AE}" pid="3" name="ClassificationContentMarkingFooterFontProps">
    <vt:lpwstr>#000000,10,Aptos</vt:lpwstr>
  </property>
  <property fmtid="{D5CDD505-2E9C-101B-9397-08002B2CF9AE}" pid="4" name="ClassificationContentMarkingFooterText">
    <vt:lpwstr>Confidential</vt:lpwstr>
  </property>
  <property fmtid="{D5CDD505-2E9C-101B-9397-08002B2CF9AE}" pid="5" name="GrammarlyDocumentId">
    <vt:lpwstr>8c552352-d94e-4564-8bf5-02a59031de92</vt:lpwstr>
  </property>
  <property fmtid="{D5CDD505-2E9C-101B-9397-08002B2CF9AE}" pid="6" name="MSIP_Label_1f4e14f7-62d0-4ad2-b706-8a54bf79b7df_Enabled">
    <vt:lpwstr>true</vt:lpwstr>
  </property>
  <property fmtid="{D5CDD505-2E9C-101B-9397-08002B2CF9AE}" pid="7" name="MSIP_Label_1f4e14f7-62d0-4ad2-b706-8a54bf79b7df_SetDate">
    <vt:lpwstr>2026-04-22T07:25:50Z</vt:lpwstr>
  </property>
  <property fmtid="{D5CDD505-2E9C-101B-9397-08002B2CF9AE}" pid="8" name="MSIP_Label_1f4e14f7-62d0-4ad2-b706-8a54bf79b7df_Method">
    <vt:lpwstr>Privileged</vt:lpwstr>
  </property>
  <property fmtid="{D5CDD505-2E9C-101B-9397-08002B2CF9AE}" pid="9" name="MSIP_Label_1f4e14f7-62d0-4ad2-b706-8a54bf79b7df_Name">
    <vt:lpwstr>Confidential</vt:lpwstr>
  </property>
  <property fmtid="{D5CDD505-2E9C-101B-9397-08002B2CF9AE}" pid="10" name="MSIP_Label_1f4e14f7-62d0-4ad2-b706-8a54bf79b7df_SiteId">
    <vt:lpwstr>31a2fec0-266b-4c67-b56e-2796d8f59c36</vt:lpwstr>
  </property>
  <property fmtid="{D5CDD505-2E9C-101B-9397-08002B2CF9AE}" pid="11" name="MSIP_Label_1f4e14f7-62d0-4ad2-b706-8a54bf79b7df_ActionId">
    <vt:lpwstr>95a351ad-8ddf-41ad-98af-4d6fb011bb4c</vt:lpwstr>
  </property>
  <property fmtid="{D5CDD505-2E9C-101B-9397-08002B2CF9AE}" pid="12" name="MSIP_Label_1f4e14f7-62d0-4ad2-b706-8a54bf79b7df_ContentBits">
    <vt:lpwstr>2</vt:lpwstr>
  </property>
  <property fmtid="{D5CDD505-2E9C-101B-9397-08002B2CF9AE}" pid="13" name="MSIP_Label_1f4e14f7-62d0-4ad2-b706-8a54bf79b7df_Tag">
    <vt:lpwstr>10, 2, 1, 1</vt:lpwstr>
  </property>
</Properties>
</file>